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85132" w14:textId="77777777" w:rsidR="008E08EA" w:rsidRPr="008E08EA" w:rsidRDefault="008E08EA" w:rsidP="008E08EA">
      <w:pPr>
        <w:spacing w:after="120"/>
        <w:jc w:val="center"/>
        <w:outlineLvl w:val="0"/>
        <w:rPr>
          <w:rFonts w:eastAsia="Calibri" w:cs="Calibri"/>
          <w:b/>
          <w:color w:val="FF6600"/>
          <w:sz w:val="28"/>
          <w:szCs w:val="28"/>
          <w:lang w:val="en-GB"/>
        </w:rPr>
      </w:pPr>
      <w:r w:rsidRPr="008E08EA">
        <w:rPr>
          <w:rFonts w:eastAsia="Calibri" w:cs="Calibri"/>
          <w:b/>
          <w:color w:val="FF6600"/>
          <w:sz w:val="28"/>
          <w:szCs w:val="28"/>
          <w:lang w:val="en-GB"/>
        </w:rPr>
        <w:t xml:space="preserve">ADVERTISEMENT </w:t>
      </w:r>
    </w:p>
    <w:p w14:paraId="4CFFC753" w14:textId="77777777" w:rsidR="008E08EA" w:rsidRPr="008E08EA" w:rsidRDefault="008E08EA" w:rsidP="008E08EA">
      <w:pPr>
        <w:spacing w:after="120"/>
        <w:jc w:val="center"/>
        <w:outlineLvl w:val="0"/>
        <w:rPr>
          <w:rFonts w:eastAsia="Calibri" w:cs="Calibri"/>
          <w:b/>
          <w:color w:val="000000"/>
          <w:szCs w:val="22"/>
          <w:highlight w:val="yellow"/>
          <w:lang w:val="en-GB"/>
        </w:rPr>
      </w:pPr>
    </w:p>
    <w:p w14:paraId="0B8EA508" w14:textId="77777777" w:rsidR="008E08EA" w:rsidRPr="008E08EA" w:rsidRDefault="008E08EA" w:rsidP="008E08EA">
      <w:pPr>
        <w:spacing w:after="120"/>
        <w:jc w:val="center"/>
        <w:outlineLvl w:val="0"/>
        <w:rPr>
          <w:rFonts w:eastAsia="Calibri" w:cs="Calibri"/>
          <w:b/>
          <w:color w:val="000000"/>
          <w:szCs w:val="22"/>
          <w:lang w:val="en-GB"/>
        </w:rPr>
      </w:pPr>
      <w:r w:rsidRPr="008E08EA">
        <w:rPr>
          <w:rFonts w:eastAsia="Calibri" w:cs="Calibri"/>
          <w:b/>
          <w:color w:val="000000"/>
          <w:szCs w:val="22"/>
          <w:lang w:val="en-GB"/>
        </w:rPr>
        <w:t xml:space="preserve">The Project is looking for: </w:t>
      </w:r>
    </w:p>
    <w:p w14:paraId="0C562CD4" w14:textId="2E043B39" w:rsidR="00A446F2" w:rsidRPr="001F3F4E" w:rsidRDefault="00A446F2" w:rsidP="00A446F2">
      <w:pPr>
        <w:spacing w:after="120"/>
        <w:jc w:val="center"/>
        <w:rPr>
          <w:rFonts w:eastAsia="Calibri" w:cs="Calibri"/>
          <w:b/>
          <w:i/>
          <w:sz w:val="24"/>
          <w:szCs w:val="22"/>
          <w:lang w:val="en-GB"/>
        </w:rPr>
      </w:pPr>
      <w:r>
        <w:rPr>
          <w:rFonts w:eastAsia="Calibri" w:cs="Calibri"/>
          <w:b/>
          <w:i/>
          <w:sz w:val="24"/>
          <w:lang w:val="en-GB"/>
        </w:rPr>
        <w:t xml:space="preserve">        </w:t>
      </w:r>
      <w:r w:rsidRPr="001F3F4E">
        <w:rPr>
          <w:rFonts w:eastAsia="Calibri" w:cs="Calibri"/>
          <w:b/>
          <w:i/>
          <w:sz w:val="24"/>
          <w:szCs w:val="22"/>
          <w:lang w:val="en-GB"/>
        </w:rPr>
        <w:t>Senior NKE Trainer in External Evaluation</w:t>
      </w:r>
    </w:p>
    <w:p w14:paraId="7A5DCA44" w14:textId="51AE7E4A" w:rsidR="008E08EA" w:rsidRPr="008E08EA" w:rsidRDefault="008E08EA" w:rsidP="008E08EA">
      <w:pPr>
        <w:spacing w:after="120"/>
        <w:jc w:val="both"/>
        <w:outlineLvl w:val="0"/>
        <w:rPr>
          <w:rFonts w:eastAsia="Calibri" w:cs="Calibri"/>
          <w:b/>
          <w:i/>
          <w:sz w:val="24"/>
          <w:lang w:val="en-GB"/>
        </w:rPr>
      </w:pPr>
    </w:p>
    <w:p w14:paraId="7B2592E7" w14:textId="77777777" w:rsidR="008E08EA" w:rsidRPr="008E08EA" w:rsidRDefault="008E08EA" w:rsidP="008E08EA">
      <w:pPr>
        <w:spacing w:after="120"/>
        <w:jc w:val="center"/>
        <w:outlineLvl w:val="0"/>
        <w:rPr>
          <w:rFonts w:eastAsia="Calibri" w:cs="Calibri"/>
          <w:b/>
          <w:color w:val="000000"/>
          <w:szCs w:val="22"/>
          <w:lang w:val="en-GB"/>
        </w:rPr>
      </w:pPr>
    </w:p>
    <w:p w14:paraId="6B81A007" w14:textId="77777777" w:rsidR="008E08EA" w:rsidRPr="008E08EA" w:rsidRDefault="008E08EA" w:rsidP="008E08EA">
      <w:pPr>
        <w:spacing w:after="120"/>
        <w:jc w:val="both"/>
        <w:outlineLvl w:val="0"/>
        <w:rPr>
          <w:rFonts w:eastAsia="Calibri" w:cs="Calibri"/>
          <w:color w:val="000000"/>
          <w:szCs w:val="22"/>
          <w:lang w:val="en-GB"/>
        </w:rPr>
      </w:pPr>
      <w:r w:rsidRPr="008E08EA">
        <w:rPr>
          <w:rFonts w:eastAsia="Calibri" w:cs="Calibri"/>
          <w:b/>
          <w:i/>
          <w:color w:val="FF6600"/>
          <w:szCs w:val="22"/>
          <w:lang w:val="en-GB"/>
        </w:rPr>
        <w:t>Project Title:</w:t>
      </w:r>
      <w:r w:rsidRPr="008E08EA">
        <w:rPr>
          <w:rFonts w:eastAsia="Calibri" w:cs="Calibri"/>
          <w:b/>
          <w:color w:val="000000"/>
          <w:szCs w:val="22"/>
          <w:lang w:val="en-GB"/>
        </w:rPr>
        <w:t xml:space="preserve"> </w:t>
      </w:r>
      <w:r w:rsidRPr="008E08EA">
        <w:rPr>
          <w:rFonts w:eastAsia="Calibri" w:cs="Calibri"/>
          <w:color w:val="000000"/>
          <w:szCs w:val="22"/>
          <w:lang w:val="en-GB"/>
        </w:rPr>
        <w:t>EU Support to Reform of Education in Serbia</w:t>
      </w:r>
    </w:p>
    <w:p w14:paraId="66E50CF9" w14:textId="77777777" w:rsidR="008E08EA" w:rsidRPr="008E08EA" w:rsidRDefault="008E08EA" w:rsidP="008E08EA">
      <w:pPr>
        <w:spacing w:after="120"/>
        <w:jc w:val="both"/>
        <w:outlineLvl w:val="0"/>
        <w:rPr>
          <w:rFonts w:eastAsia="Calibri" w:cs="Calibri"/>
          <w:color w:val="000000"/>
          <w:szCs w:val="22"/>
          <w:lang w:val="en-GB"/>
        </w:rPr>
      </w:pPr>
      <w:r w:rsidRPr="008E08EA">
        <w:rPr>
          <w:rFonts w:eastAsia="Calibri" w:cs="Calibri"/>
          <w:b/>
          <w:i/>
          <w:color w:val="FF6600"/>
          <w:szCs w:val="22"/>
          <w:lang w:val="en-GB"/>
        </w:rPr>
        <w:t>Contract no:</w:t>
      </w:r>
      <w:r w:rsidRPr="008E08EA">
        <w:rPr>
          <w:rFonts w:eastAsia="Calibri" w:cs="Calibri"/>
          <w:color w:val="000000"/>
          <w:szCs w:val="22"/>
          <w:lang w:val="en-GB"/>
        </w:rPr>
        <w:t xml:space="preserve"> 2019/405-242</w:t>
      </w:r>
    </w:p>
    <w:p w14:paraId="7C2FA3F7" w14:textId="77777777" w:rsidR="008E08EA" w:rsidRPr="008E08EA" w:rsidRDefault="008E08EA" w:rsidP="008E08EA">
      <w:pPr>
        <w:spacing w:after="120"/>
        <w:jc w:val="both"/>
        <w:outlineLvl w:val="0"/>
        <w:rPr>
          <w:rFonts w:eastAsia="Calibri" w:cs="Calibri"/>
          <w:szCs w:val="22"/>
          <w:lang w:val="en-GB"/>
        </w:rPr>
      </w:pPr>
      <w:r w:rsidRPr="008E08EA">
        <w:rPr>
          <w:rFonts w:eastAsia="Calibri" w:cs="Calibri"/>
          <w:b/>
          <w:i/>
          <w:color w:val="FF6600"/>
          <w:szCs w:val="22"/>
          <w:lang w:val="en-GB"/>
        </w:rPr>
        <w:t xml:space="preserve">The overall objective of the project: </w:t>
      </w:r>
      <w:r w:rsidRPr="008E08EA">
        <w:rPr>
          <w:rFonts w:eastAsia="Calibri" w:cs="Calibri"/>
          <w:szCs w:val="22"/>
          <w:lang w:val="en-GB"/>
        </w:rPr>
        <w:t>To assist the Government of Serbia in implementing reforms in the education sector by improving the quality, equity and relevance of the education and training</w:t>
      </w:r>
    </w:p>
    <w:p w14:paraId="4AB23011" w14:textId="77777777" w:rsidR="008E08EA" w:rsidRPr="008E08EA" w:rsidRDefault="008E08EA" w:rsidP="008E08EA">
      <w:pPr>
        <w:spacing w:after="120"/>
        <w:jc w:val="both"/>
        <w:rPr>
          <w:rFonts w:eastAsia="Calibri" w:cs="Calibri"/>
          <w:szCs w:val="22"/>
          <w:lang w:val="en-GB"/>
        </w:rPr>
      </w:pPr>
      <w:r w:rsidRPr="008E08EA">
        <w:rPr>
          <w:rFonts w:eastAsia="Calibri" w:cs="Calibri"/>
          <w:b/>
          <w:i/>
          <w:color w:val="FF6600"/>
          <w:szCs w:val="22"/>
          <w:lang w:val="en-GB"/>
        </w:rPr>
        <w:t xml:space="preserve">Purpose of the project: </w:t>
      </w:r>
      <w:r w:rsidRPr="008E08EA">
        <w:rPr>
          <w:rFonts w:eastAsia="Calibri" w:cs="Calibri"/>
          <w:szCs w:val="22"/>
          <w:lang w:val="en-GB"/>
        </w:rPr>
        <w:t>Strengthening institutional and human capacities of key institutions in the education sector to manage comprehensive education reform; and timely, efficient and effective coordination and implementation of the Sector Reform Performance Contract (SRPC)</w:t>
      </w:r>
    </w:p>
    <w:p w14:paraId="30EAE766" w14:textId="3FCFDD19" w:rsidR="008E08EA" w:rsidRPr="008E08EA" w:rsidRDefault="008E08EA" w:rsidP="008E08EA">
      <w:pPr>
        <w:spacing w:after="120"/>
        <w:rPr>
          <w:rFonts w:eastAsia="Calibri" w:cs="Calibri"/>
          <w:szCs w:val="22"/>
          <w:lang w:val="en-GB"/>
        </w:rPr>
      </w:pPr>
      <w:r w:rsidRPr="008E08EA">
        <w:rPr>
          <w:rFonts w:eastAsia="Calibri" w:cs="Calibri"/>
          <w:b/>
          <w:i/>
          <w:color w:val="FF6600"/>
          <w:szCs w:val="22"/>
          <w:lang w:val="en-GB"/>
        </w:rPr>
        <w:t>Main tasks:</w:t>
      </w:r>
      <w:r w:rsidRPr="008E08EA">
        <w:rPr>
          <w:rFonts w:eastAsia="Calibri" w:cs="Calibri"/>
          <w:color w:val="FF6600"/>
          <w:sz w:val="18"/>
          <w:szCs w:val="18"/>
          <w:lang w:val="en-GB"/>
        </w:rPr>
        <w:t xml:space="preserve"> </w:t>
      </w:r>
      <w:r w:rsidRPr="008E08EA">
        <w:rPr>
          <w:rFonts w:eastAsia="Calibri" w:cs="Calibri"/>
          <w:szCs w:val="22"/>
          <w:lang w:val="en-GB"/>
        </w:rPr>
        <w:t xml:space="preserve"> </w:t>
      </w:r>
      <w:r w:rsidR="00A446F2" w:rsidRPr="00A446F2">
        <w:rPr>
          <w:rFonts w:eastAsia="Calibri" w:cs="Calibri"/>
          <w:szCs w:val="22"/>
          <w:lang w:val="en-GB"/>
        </w:rPr>
        <w:t>Senior NKE - Trainer in External Evaluation will work closely with other relevant Senior experts and support the Team Leader and Project Key Expert 2 in the delivery of activities and outcomes listed in the table below.</w:t>
      </w:r>
    </w:p>
    <w:tbl>
      <w:tblPr>
        <w:tblW w:w="0" w:type="auto"/>
        <w:tblInd w:w="108" w:type="dxa"/>
        <w:tblCellMar>
          <w:left w:w="10" w:type="dxa"/>
          <w:right w:w="10" w:type="dxa"/>
        </w:tblCellMar>
        <w:tblLook w:val="0000" w:firstRow="0" w:lastRow="0" w:firstColumn="0" w:lastColumn="0" w:noHBand="0" w:noVBand="0"/>
      </w:tblPr>
      <w:tblGrid>
        <w:gridCol w:w="989"/>
        <w:gridCol w:w="3508"/>
        <w:gridCol w:w="1164"/>
        <w:gridCol w:w="3296"/>
      </w:tblGrid>
      <w:tr w:rsidR="00A446F2" w:rsidRPr="001F3F4E" w14:paraId="66E11987" w14:textId="77777777" w:rsidTr="00CF00C9">
        <w:trPr>
          <w:trHeight w:val="783"/>
        </w:trPr>
        <w:tc>
          <w:tcPr>
            <w:tcW w:w="99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BE3F5B7" w14:textId="77777777" w:rsidR="00A446F2" w:rsidRPr="001F3F4E" w:rsidRDefault="00A446F2" w:rsidP="00CF00C9">
            <w:pPr>
              <w:spacing w:before="120" w:after="120"/>
              <w:jc w:val="center"/>
              <w:rPr>
                <w:rFonts w:eastAsia="Calibri" w:cs="Calibri"/>
                <w:szCs w:val="22"/>
                <w:lang w:val="en-GB"/>
              </w:rPr>
            </w:pPr>
            <w:r w:rsidRPr="001F3F4E">
              <w:rPr>
                <w:rFonts w:eastAsia="Calibri" w:cs="Calibri"/>
                <w:b/>
                <w:szCs w:val="22"/>
                <w:lang w:val="en-GB"/>
              </w:rPr>
              <w:t>Sub activity N</w:t>
            </w:r>
            <w:r w:rsidRPr="001F3F4E">
              <w:rPr>
                <w:rFonts w:eastAsia="Calibri" w:cs="Calibri"/>
                <w:b/>
                <w:szCs w:val="22"/>
                <w:vertAlign w:val="superscript"/>
                <w:lang w:val="en-GB"/>
              </w:rPr>
              <w:t>o</w:t>
            </w:r>
          </w:p>
        </w:tc>
        <w:tc>
          <w:tcPr>
            <w:tcW w:w="36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3564AC4" w14:textId="77777777" w:rsidR="00A446F2" w:rsidRPr="001F3F4E" w:rsidRDefault="00A446F2" w:rsidP="00CF00C9">
            <w:pPr>
              <w:spacing w:before="120" w:after="120"/>
              <w:jc w:val="center"/>
              <w:rPr>
                <w:rFonts w:eastAsia="Calibri" w:cs="Calibri"/>
                <w:szCs w:val="22"/>
                <w:lang w:val="en-GB"/>
              </w:rPr>
            </w:pPr>
            <w:r w:rsidRPr="001F3F4E">
              <w:rPr>
                <w:rFonts w:eastAsia="Calibri" w:cs="Calibri"/>
                <w:b/>
                <w:szCs w:val="22"/>
                <w:lang w:val="en-GB"/>
              </w:rPr>
              <w:t>Task</w:t>
            </w:r>
          </w:p>
        </w:tc>
        <w:tc>
          <w:tcPr>
            <w:tcW w:w="116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07F2084" w14:textId="77777777" w:rsidR="00A446F2" w:rsidRPr="001F3F4E" w:rsidRDefault="00A446F2" w:rsidP="00CF00C9">
            <w:pPr>
              <w:spacing w:before="120" w:after="120"/>
              <w:jc w:val="center"/>
              <w:rPr>
                <w:rFonts w:eastAsia="Calibri" w:cs="Calibri"/>
                <w:szCs w:val="22"/>
                <w:lang w:val="en-GB"/>
              </w:rPr>
            </w:pPr>
            <w:r w:rsidRPr="001F3F4E">
              <w:rPr>
                <w:rFonts w:eastAsia="Calibri" w:cs="Calibri"/>
                <w:b/>
                <w:szCs w:val="22"/>
                <w:lang w:val="en-GB"/>
              </w:rPr>
              <w:t>Indicative input:</w:t>
            </w:r>
          </w:p>
        </w:tc>
        <w:tc>
          <w:tcPr>
            <w:tcW w:w="3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80F1D3B" w14:textId="77777777" w:rsidR="00A446F2" w:rsidRPr="001F3F4E" w:rsidRDefault="00A446F2" w:rsidP="00CF00C9">
            <w:pPr>
              <w:spacing w:before="120" w:after="120"/>
              <w:jc w:val="center"/>
              <w:rPr>
                <w:rFonts w:eastAsia="Calibri" w:cs="Calibri"/>
                <w:szCs w:val="22"/>
                <w:lang w:val="en-GB"/>
              </w:rPr>
            </w:pPr>
            <w:r w:rsidRPr="001F3F4E">
              <w:rPr>
                <w:rFonts w:eastAsia="Calibri" w:cs="Calibri"/>
                <w:b/>
                <w:szCs w:val="22"/>
                <w:lang w:val="en-GB"/>
              </w:rPr>
              <w:t>Expected deliverables:</w:t>
            </w:r>
          </w:p>
        </w:tc>
      </w:tr>
      <w:tr w:rsidR="00A446F2" w:rsidRPr="001F3F4E" w14:paraId="3C799A1E" w14:textId="77777777" w:rsidTr="00CF00C9">
        <w:tc>
          <w:tcPr>
            <w:tcW w:w="997"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649D451E" w14:textId="77777777" w:rsidR="00A446F2" w:rsidRPr="001F3F4E" w:rsidRDefault="00A446F2" w:rsidP="00CF00C9">
            <w:pPr>
              <w:spacing w:after="120"/>
              <w:jc w:val="both"/>
              <w:rPr>
                <w:rFonts w:eastAsia="Calibri" w:cs="Calibri"/>
                <w:szCs w:val="22"/>
                <w:lang w:val="en-GB"/>
              </w:rPr>
            </w:pPr>
            <w:r w:rsidRPr="001F3F4E">
              <w:rPr>
                <w:rFonts w:eastAsia="Calibri" w:cs="Calibri"/>
                <w:szCs w:val="22"/>
                <w:lang w:val="en-GB"/>
              </w:rPr>
              <w:t>3.1.3</w:t>
            </w:r>
          </w:p>
        </w:tc>
        <w:tc>
          <w:tcPr>
            <w:tcW w:w="3637"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007175CE" w14:textId="77777777" w:rsidR="00A446F2" w:rsidRPr="001F3F4E" w:rsidRDefault="00A446F2" w:rsidP="00CF00C9">
            <w:pPr>
              <w:rPr>
                <w:rFonts w:asciiTheme="minorHAnsi" w:hAnsiTheme="minorHAnsi" w:cstheme="minorHAnsi"/>
                <w:i/>
                <w:iCs/>
                <w:lang w:val="en-GB" w:eastAsia="tr-TR"/>
              </w:rPr>
            </w:pPr>
            <w:r w:rsidRPr="001F3F4E">
              <w:rPr>
                <w:rFonts w:asciiTheme="minorHAnsi" w:hAnsiTheme="minorHAnsi" w:cstheme="minorHAnsi"/>
                <w:i/>
                <w:iCs/>
                <w:lang w:val="en-GB" w:eastAsia="tr-TR"/>
              </w:rPr>
              <w:t>3.1.3.1. Analysis of the Catalogue of Programmes for Professional Development of Teachers</w:t>
            </w:r>
          </w:p>
          <w:p w14:paraId="1BC11483" w14:textId="77777777" w:rsidR="00A446F2" w:rsidRPr="001F3F4E" w:rsidRDefault="00A446F2" w:rsidP="00CF00C9">
            <w:pPr>
              <w:rPr>
                <w:rFonts w:asciiTheme="minorHAnsi" w:hAnsiTheme="minorHAnsi" w:cstheme="minorHAnsi"/>
                <w:i/>
                <w:iCs/>
                <w:lang w:val="en-GB" w:eastAsia="tr-TR"/>
              </w:rPr>
            </w:pPr>
          </w:p>
          <w:p w14:paraId="593CB3AA" w14:textId="77777777" w:rsidR="00A446F2" w:rsidRPr="001F3F4E" w:rsidRDefault="00A446F2" w:rsidP="00CF00C9">
            <w:pPr>
              <w:rPr>
                <w:rFonts w:asciiTheme="minorHAnsi" w:hAnsiTheme="minorHAnsi" w:cstheme="minorHAnsi"/>
                <w:i/>
                <w:iCs/>
                <w:lang w:val="en-GB" w:eastAsia="tr-TR"/>
              </w:rPr>
            </w:pPr>
            <w:r w:rsidRPr="001F3F4E">
              <w:rPr>
                <w:rFonts w:asciiTheme="minorHAnsi" w:hAnsiTheme="minorHAnsi" w:cstheme="minorHAnsi"/>
                <w:i/>
                <w:iCs/>
                <w:lang w:val="en-GB" w:eastAsia="tr-TR"/>
              </w:rPr>
              <w:t xml:space="preserve">3.1.3.2. TNA analysis among teachers </w:t>
            </w:r>
          </w:p>
          <w:p w14:paraId="08C57071" w14:textId="77777777" w:rsidR="00A446F2" w:rsidRPr="001F3F4E" w:rsidRDefault="00A446F2" w:rsidP="00CF00C9">
            <w:pPr>
              <w:rPr>
                <w:rFonts w:asciiTheme="minorHAnsi" w:hAnsiTheme="minorHAnsi" w:cstheme="minorHAnsi"/>
                <w:i/>
                <w:iCs/>
                <w:lang w:val="en-GB" w:eastAsia="tr-TR"/>
              </w:rPr>
            </w:pPr>
          </w:p>
          <w:p w14:paraId="19775B98" w14:textId="77777777" w:rsidR="00A446F2" w:rsidRPr="001F3F4E" w:rsidRDefault="00A446F2" w:rsidP="00CF00C9">
            <w:pPr>
              <w:spacing w:after="160" w:line="259" w:lineRule="auto"/>
              <w:rPr>
                <w:rFonts w:asciiTheme="minorHAnsi" w:hAnsiTheme="minorHAnsi" w:cstheme="minorHAnsi"/>
                <w:i/>
                <w:iCs/>
                <w:lang w:val="en-GB"/>
              </w:rPr>
            </w:pPr>
            <w:r w:rsidRPr="001F3F4E">
              <w:rPr>
                <w:rFonts w:asciiTheme="minorHAnsi" w:hAnsiTheme="minorHAnsi" w:cstheme="minorHAnsi"/>
                <w:i/>
                <w:iCs/>
                <w:lang w:val="en-GB" w:eastAsia="tr-TR"/>
              </w:rPr>
              <w:t xml:space="preserve">3.1.3.2. Development of recommendations for improvement </w:t>
            </w:r>
            <w:r w:rsidRPr="001F3F4E">
              <w:rPr>
                <w:rFonts w:asciiTheme="minorHAnsi" w:hAnsiTheme="minorHAnsi" w:cstheme="minorHAnsi"/>
                <w:i/>
                <w:iCs/>
                <w:lang w:val="en-GB"/>
              </w:rPr>
              <w:t>of the catalogue</w:t>
            </w:r>
          </w:p>
          <w:p w14:paraId="1301A712" w14:textId="77777777" w:rsidR="00A446F2" w:rsidRPr="001F3F4E" w:rsidRDefault="00A446F2" w:rsidP="00CF00C9">
            <w:pPr>
              <w:rPr>
                <w:rFonts w:asciiTheme="minorHAnsi" w:hAnsiTheme="minorHAnsi" w:cstheme="minorHAnsi"/>
                <w:i/>
                <w:iCs/>
                <w:lang w:val="en-GB"/>
              </w:rPr>
            </w:pPr>
            <w:r w:rsidRPr="001F3F4E">
              <w:rPr>
                <w:rFonts w:asciiTheme="minorHAnsi" w:hAnsiTheme="minorHAnsi" w:cstheme="minorHAnsi"/>
                <w:i/>
                <w:iCs/>
                <w:lang w:val="en-GB"/>
              </w:rPr>
              <w:t>3.1.3.3.  Implementation of discussion sessions on recommendations for improvement of the catalogue</w:t>
            </w:r>
          </w:p>
          <w:p w14:paraId="417310A4" w14:textId="77777777" w:rsidR="00A446F2" w:rsidRPr="001F3F4E" w:rsidRDefault="00A446F2" w:rsidP="00CF00C9">
            <w:pPr>
              <w:rPr>
                <w:rFonts w:asciiTheme="minorHAnsi" w:hAnsiTheme="minorHAnsi" w:cstheme="minorHAnsi"/>
                <w:i/>
                <w:iCs/>
                <w:lang w:val="en-GB"/>
              </w:rPr>
            </w:pPr>
          </w:p>
        </w:tc>
        <w:tc>
          <w:tcPr>
            <w:tcW w:w="1168"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765238C5" w14:textId="77777777" w:rsidR="00A446F2" w:rsidRPr="001F3F4E" w:rsidRDefault="00A446F2" w:rsidP="00CF00C9">
            <w:pPr>
              <w:spacing w:after="120"/>
              <w:jc w:val="both"/>
              <w:rPr>
                <w:rFonts w:eastAsia="Calibri" w:cs="Calibri"/>
                <w:szCs w:val="22"/>
                <w:lang w:val="en-GB"/>
              </w:rPr>
            </w:pPr>
            <w:r w:rsidRPr="001F3F4E">
              <w:rPr>
                <w:rFonts w:eastAsia="Calibri" w:cs="Calibri"/>
                <w:szCs w:val="22"/>
                <w:lang w:val="en-GB"/>
              </w:rPr>
              <w:t xml:space="preserve">75 </w:t>
            </w:r>
            <w:proofErr w:type="spellStart"/>
            <w:r w:rsidRPr="001F3F4E">
              <w:rPr>
                <w:rFonts w:eastAsia="Calibri" w:cs="Calibri"/>
                <w:szCs w:val="22"/>
                <w:lang w:val="en-GB"/>
              </w:rPr>
              <w:t>wd</w:t>
            </w:r>
            <w:proofErr w:type="spellEnd"/>
          </w:p>
        </w:tc>
        <w:tc>
          <w:tcPr>
            <w:tcW w:w="3379"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4B58CB90" w14:textId="77777777" w:rsidR="00A446F2" w:rsidRPr="001F3F4E" w:rsidRDefault="00A446F2" w:rsidP="00A446F2">
            <w:pPr>
              <w:numPr>
                <w:ilvl w:val="0"/>
                <w:numId w:val="7"/>
              </w:numPr>
              <w:contextualSpacing/>
              <w:rPr>
                <w:rFonts w:asciiTheme="minorHAnsi" w:hAnsiTheme="minorHAnsi" w:cstheme="minorHAnsi"/>
                <w:lang w:val="en-GB"/>
              </w:rPr>
            </w:pPr>
            <w:r w:rsidRPr="001F3F4E">
              <w:rPr>
                <w:rFonts w:asciiTheme="minorHAnsi" w:hAnsiTheme="minorHAnsi" w:cstheme="minorHAnsi"/>
                <w:lang w:val="en-GB"/>
              </w:rPr>
              <w:t>Report on analysis of the Catalogue of Programmes for Professional Development of Teachers including recommendations for further improvement of the catalogue developed and available for consultations</w:t>
            </w:r>
          </w:p>
          <w:p w14:paraId="28861FAB" w14:textId="77777777" w:rsidR="00A446F2" w:rsidRPr="001F3F4E" w:rsidRDefault="00A446F2" w:rsidP="00A446F2">
            <w:pPr>
              <w:numPr>
                <w:ilvl w:val="0"/>
                <w:numId w:val="7"/>
              </w:numPr>
              <w:spacing w:after="160" w:line="259" w:lineRule="auto"/>
              <w:contextualSpacing/>
              <w:rPr>
                <w:rFonts w:eastAsia="Calibri" w:cs="Calibri"/>
                <w:szCs w:val="22"/>
                <w:lang w:val="en-GB"/>
              </w:rPr>
            </w:pPr>
            <w:r w:rsidRPr="001F3F4E">
              <w:rPr>
                <w:rFonts w:asciiTheme="minorHAnsi" w:hAnsiTheme="minorHAnsi" w:cstheme="minorHAnsi"/>
                <w:lang w:val="en-GB"/>
              </w:rPr>
              <w:t>Discussions on recommendations for improvement of the catalogue conducted and recommendations approved</w:t>
            </w:r>
          </w:p>
        </w:tc>
      </w:tr>
      <w:tr w:rsidR="00A446F2" w:rsidRPr="001F3F4E" w14:paraId="3FC8089C" w14:textId="77777777" w:rsidTr="00CF00C9">
        <w:tc>
          <w:tcPr>
            <w:tcW w:w="997"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201A572E" w14:textId="77777777" w:rsidR="00A446F2" w:rsidRPr="001F3F4E" w:rsidRDefault="00A446F2" w:rsidP="00CF00C9">
            <w:pPr>
              <w:spacing w:after="120"/>
              <w:jc w:val="both"/>
              <w:rPr>
                <w:rFonts w:eastAsia="Calibri" w:cs="Calibri"/>
                <w:szCs w:val="22"/>
                <w:lang w:val="en-GB"/>
              </w:rPr>
            </w:pPr>
            <w:r w:rsidRPr="001F3F4E">
              <w:rPr>
                <w:rFonts w:eastAsia="Calibri" w:cs="Calibri"/>
                <w:szCs w:val="22"/>
                <w:lang w:val="en-GB"/>
              </w:rPr>
              <w:t>3.2.1</w:t>
            </w:r>
          </w:p>
        </w:tc>
        <w:tc>
          <w:tcPr>
            <w:tcW w:w="3637"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2D8F30DE" w14:textId="77777777" w:rsidR="00A446F2" w:rsidRPr="001F3F4E" w:rsidRDefault="00A446F2" w:rsidP="00CF00C9">
            <w:pPr>
              <w:rPr>
                <w:rFonts w:asciiTheme="minorHAnsi" w:hAnsiTheme="minorHAnsi" w:cstheme="minorHAnsi"/>
                <w:bCs/>
                <w:i/>
                <w:lang w:val="en-GB" w:eastAsia="tr-TR"/>
              </w:rPr>
            </w:pPr>
            <w:r w:rsidRPr="001F3F4E">
              <w:rPr>
                <w:rFonts w:asciiTheme="minorHAnsi" w:hAnsiTheme="minorHAnsi" w:cstheme="minorHAnsi"/>
                <w:bCs/>
                <w:i/>
                <w:lang w:val="en-GB" w:eastAsia="tr-TR"/>
              </w:rPr>
              <w:t xml:space="preserve">3.2.1.1. Development of TNA methodology in cooperation with IEQE and </w:t>
            </w:r>
            <w:proofErr w:type="spellStart"/>
            <w:r w:rsidRPr="001F3F4E">
              <w:rPr>
                <w:rFonts w:asciiTheme="minorHAnsi" w:hAnsiTheme="minorHAnsi" w:cstheme="minorHAnsi"/>
                <w:bCs/>
                <w:i/>
                <w:lang w:val="en-GB" w:eastAsia="tr-TR"/>
              </w:rPr>
              <w:t>MoESTD</w:t>
            </w:r>
            <w:proofErr w:type="spellEnd"/>
            <w:r w:rsidRPr="001F3F4E">
              <w:rPr>
                <w:rFonts w:asciiTheme="minorHAnsi" w:hAnsiTheme="minorHAnsi" w:cstheme="minorHAnsi"/>
                <w:bCs/>
                <w:i/>
                <w:lang w:val="en-GB" w:eastAsia="tr-TR"/>
              </w:rPr>
              <w:t xml:space="preserve"> representatives</w:t>
            </w:r>
          </w:p>
          <w:p w14:paraId="69526E1E" w14:textId="77777777" w:rsidR="00A446F2" w:rsidRPr="001F3F4E" w:rsidRDefault="00A446F2" w:rsidP="00CF00C9">
            <w:pPr>
              <w:rPr>
                <w:rFonts w:asciiTheme="minorHAnsi" w:hAnsiTheme="minorHAnsi" w:cstheme="minorHAnsi"/>
                <w:bCs/>
                <w:i/>
                <w:lang w:val="en-GB" w:eastAsia="tr-TR"/>
              </w:rPr>
            </w:pPr>
          </w:p>
          <w:p w14:paraId="1A575AF4" w14:textId="77777777" w:rsidR="00A446F2" w:rsidRPr="001F3F4E" w:rsidRDefault="00A446F2" w:rsidP="00CF00C9">
            <w:pPr>
              <w:rPr>
                <w:rFonts w:asciiTheme="minorHAnsi" w:hAnsiTheme="minorHAnsi" w:cstheme="minorHAnsi"/>
                <w:bCs/>
                <w:i/>
                <w:lang w:val="en-GB" w:eastAsia="tr-TR"/>
              </w:rPr>
            </w:pPr>
            <w:r w:rsidRPr="001F3F4E">
              <w:rPr>
                <w:rFonts w:asciiTheme="minorHAnsi" w:hAnsiTheme="minorHAnsi" w:cstheme="minorHAnsi"/>
                <w:bCs/>
                <w:i/>
                <w:lang w:val="en-GB" w:eastAsia="tr-TR"/>
              </w:rPr>
              <w:lastRenderedPageBreak/>
              <w:t xml:space="preserve">3.2.1.2. Carrying out </w:t>
            </w:r>
            <w:r w:rsidRPr="001F3F4E">
              <w:rPr>
                <w:rFonts w:asciiTheme="minorHAnsi" w:hAnsiTheme="minorHAnsi" w:cstheme="minorHAnsi"/>
                <w:bCs/>
                <w:lang w:val="en-GB" w:eastAsia="tr-TR"/>
              </w:rPr>
              <w:t>T</w:t>
            </w:r>
            <w:r w:rsidRPr="001F3F4E">
              <w:rPr>
                <w:rFonts w:asciiTheme="minorHAnsi" w:hAnsiTheme="minorHAnsi" w:cstheme="minorHAnsi"/>
                <w:bCs/>
                <w:i/>
                <w:lang w:val="en-GB" w:eastAsia="tr-TR"/>
              </w:rPr>
              <w:t>NA of external evaluators, external associates and school associates in line with demands of the new concept of external evaluation, further trainings, tools and materials necessary for supporting the process of external evaluation</w:t>
            </w:r>
          </w:p>
          <w:p w14:paraId="24490541" w14:textId="77777777" w:rsidR="00A446F2" w:rsidRPr="001F3F4E" w:rsidRDefault="00A446F2" w:rsidP="00CF00C9">
            <w:pPr>
              <w:rPr>
                <w:rFonts w:asciiTheme="minorHAnsi" w:hAnsiTheme="minorHAnsi" w:cstheme="minorHAnsi"/>
                <w:bCs/>
                <w:i/>
                <w:lang w:val="en-GB" w:eastAsia="tr-TR"/>
              </w:rPr>
            </w:pPr>
          </w:p>
          <w:p w14:paraId="205B5473" w14:textId="77777777" w:rsidR="00A446F2" w:rsidRPr="001F3F4E" w:rsidRDefault="00A446F2" w:rsidP="00CF00C9">
            <w:pPr>
              <w:rPr>
                <w:rFonts w:asciiTheme="minorHAnsi" w:hAnsiTheme="minorHAnsi" w:cstheme="minorHAnsi"/>
                <w:bCs/>
                <w:i/>
                <w:lang w:val="en-GB" w:eastAsia="tr-TR"/>
              </w:rPr>
            </w:pPr>
            <w:r w:rsidRPr="001F3F4E">
              <w:rPr>
                <w:rFonts w:asciiTheme="minorHAnsi" w:hAnsiTheme="minorHAnsi" w:cstheme="minorHAnsi"/>
                <w:bCs/>
                <w:i/>
                <w:lang w:val="en-GB" w:eastAsia="tr-TR"/>
              </w:rPr>
              <w:t xml:space="preserve">3.2.1.3. Based on the TNA - Development of capacity building programme and materials for each target group in cooperation with IEQE and </w:t>
            </w:r>
            <w:proofErr w:type="spellStart"/>
            <w:r w:rsidRPr="001F3F4E">
              <w:rPr>
                <w:rFonts w:asciiTheme="minorHAnsi" w:hAnsiTheme="minorHAnsi" w:cstheme="minorHAnsi"/>
                <w:bCs/>
                <w:i/>
                <w:lang w:val="en-GB" w:eastAsia="tr-TR"/>
              </w:rPr>
              <w:t>MoESTD</w:t>
            </w:r>
            <w:proofErr w:type="spellEnd"/>
            <w:r w:rsidRPr="001F3F4E">
              <w:rPr>
                <w:rFonts w:asciiTheme="minorHAnsi" w:hAnsiTheme="minorHAnsi" w:cstheme="minorHAnsi"/>
                <w:bCs/>
                <w:i/>
                <w:lang w:val="en-GB" w:eastAsia="tr-TR"/>
              </w:rPr>
              <w:t xml:space="preserve"> representatives </w:t>
            </w:r>
          </w:p>
          <w:p w14:paraId="6AC37E57" w14:textId="77777777" w:rsidR="00A446F2" w:rsidRPr="001F3F4E" w:rsidRDefault="00A446F2" w:rsidP="00CF00C9">
            <w:pPr>
              <w:rPr>
                <w:rFonts w:asciiTheme="minorHAnsi" w:hAnsiTheme="minorHAnsi" w:cstheme="minorHAnsi"/>
                <w:bCs/>
                <w:i/>
                <w:lang w:val="en-GB" w:eastAsia="tr-TR"/>
              </w:rPr>
            </w:pPr>
          </w:p>
          <w:p w14:paraId="68D2C325" w14:textId="77777777" w:rsidR="00A446F2" w:rsidRPr="001F3F4E" w:rsidRDefault="00A446F2" w:rsidP="00CF00C9">
            <w:pPr>
              <w:rPr>
                <w:rFonts w:asciiTheme="minorHAnsi" w:hAnsiTheme="minorHAnsi" w:cstheme="minorHAnsi"/>
                <w:bCs/>
                <w:i/>
                <w:lang w:val="en-GB" w:eastAsia="tr-TR"/>
              </w:rPr>
            </w:pPr>
            <w:r w:rsidRPr="001F3F4E">
              <w:rPr>
                <w:rFonts w:asciiTheme="minorHAnsi" w:hAnsiTheme="minorHAnsi" w:cstheme="minorHAnsi"/>
                <w:bCs/>
                <w:i/>
                <w:lang w:val="en-GB" w:eastAsia="tr-TR"/>
              </w:rPr>
              <w:t xml:space="preserve">3.2.1.4. Organisation of a conference for approximately 150 external evaluators dedicated to the second round of external evaluations </w:t>
            </w:r>
          </w:p>
          <w:p w14:paraId="78953FB9" w14:textId="77777777" w:rsidR="00A446F2" w:rsidRPr="001F3F4E" w:rsidRDefault="00A446F2" w:rsidP="00CF00C9">
            <w:pPr>
              <w:spacing w:after="160" w:line="259" w:lineRule="auto"/>
              <w:rPr>
                <w:rFonts w:cs="Calibri"/>
                <w:b/>
                <w:bCs/>
                <w:szCs w:val="22"/>
                <w:lang w:val="en-GB" w:eastAsia="tr-TR"/>
              </w:rPr>
            </w:pPr>
          </w:p>
        </w:tc>
        <w:tc>
          <w:tcPr>
            <w:tcW w:w="1168"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10BAA1E2" w14:textId="77777777" w:rsidR="00A446F2" w:rsidRPr="001F3F4E" w:rsidRDefault="00A446F2" w:rsidP="00CF00C9">
            <w:pPr>
              <w:spacing w:after="120"/>
              <w:jc w:val="both"/>
              <w:rPr>
                <w:rFonts w:eastAsia="Calibri" w:cs="Calibri"/>
                <w:szCs w:val="22"/>
                <w:lang w:val="en-GB"/>
              </w:rPr>
            </w:pPr>
            <w:r w:rsidRPr="001F3F4E">
              <w:rPr>
                <w:rFonts w:eastAsia="Calibri" w:cs="Calibri"/>
                <w:szCs w:val="22"/>
                <w:lang w:val="en-GB"/>
              </w:rPr>
              <w:lastRenderedPageBreak/>
              <w:t xml:space="preserve">64 </w:t>
            </w:r>
            <w:proofErr w:type="spellStart"/>
            <w:r w:rsidRPr="001F3F4E">
              <w:rPr>
                <w:rFonts w:eastAsia="Calibri" w:cs="Calibri"/>
                <w:szCs w:val="22"/>
                <w:lang w:val="en-GB"/>
              </w:rPr>
              <w:t>wd</w:t>
            </w:r>
            <w:proofErr w:type="spellEnd"/>
          </w:p>
        </w:tc>
        <w:tc>
          <w:tcPr>
            <w:tcW w:w="3379"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62E11060" w14:textId="77777777" w:rsidR="00A446F2" w:rsidRPr="001F3F4E" w:rsidRDefault="00A446F2" w:rsidP="00A446F2">
            <w:pPr>
              <w:numPr>
                <w:ilvl w:val="0"/>
                <w:numId w:val="7"/>
              </w:numPr>
              <w:contextualSpacing/>
              <w:rPr>
                <w:rFonts w:asciiTheme="minorHAnsi" w:hAnsiTheme="minorHAnsi" w:cstheme="minorHAnsi"/>
                <w:lang w:val="en-GB" w:eastAsia="tr-TR"/>
              </w:rPr>
            </w:pPr>
            <w:r w:rsidRPr="001F3F4E">
              <w:rPr>
                <w:rFonts w:asciiTheme="minorHAnsi" w:hAnsiTheme="minorHAnsi" w:cstheme="minorHAnsi"/>
                <w:lang w:val="en-GB" w:eastAsia="tr-TR"/>
              </w:rPr>
              <w:t>TNA methodology developed, TNA conducted and a report containing identified training topics developed</w:t>
            </w:r>
          </w:p>
          <w:p w14:paraId="6F3E1255" w14:textId="77777777" w:rsidR="00A446F2" w:rsidRPr="001F3F4E" w:rsidRDefault="00A446F2" w:rsidP="00A446F2">
            <w:pPr>
              <w:numPr>
                <w:ilvl w:val="0"/>
                <w:numId w:val="7"/>
              </w:numPr>
              <w:contextualSpacing/>
              <w:rPr>
                <w:rFonts w:asciiTheme="minorHAnsi" w:hAnsiTheme="minorHAnsi" w:cstheme="minorHAnsi"/>
                <w:lang w:val="en-GB" w:eastAsia="tr-TR"/>
              </w:rPr>
            </w:pPr>
            <w:r w:rsidRPr="001F3F4E">
              <w:rPr>
                <w:rFonts w:asciiTheme="minorHAnsi" w:hAnsiTheme="minorHAnsi" w:cstheme="minorHAnsi"/>
                <w:lang w:val="en-GB" w:eastAsia="tr-TR"/>
              </w:rPr>
              <w:lastRenderedPageBreak/>
              <w:t>One-day conference organised</w:t>
            </w:r>
          </w:p>
          <w:p w14:paraId="3B523074" w14:textId="77777777" w:rsidR="00A446F2" w:rsidRPr="001F3F4E" w:rsidRDefault="00A446F2" w:rsidP="00A446F2">
            <w:pPr>
              <w:numPr>
                <w:ilvl w:val="0"/>
                <w:numId w:val="7"/>
              </w:numPr>
              <w:contextualSpacing/>
              <w:rPr>
                <w:rFonts w:asciiTheme="minorHAnsi" w:hAnsiTheme="minorHAnsi" w:cstheme="minorHAnsi"/>
                <w:lang w:val="en-GB" w:eastAsia="tr-TR"/>
              </w:rPr>
            </w:pPr>
            <w:r w:rsidRPr="001F3F4E">
              <w:rPr>
                <w:rFonts w:asciiTheme="minorHAnsi" w:hAnsiTheme="minorHAnsi" w:cstheme="minorHAnsi"/>
                <w:lang w:val="en-GB" w:eastAsia="tr-TR"/>
              </w:rPr>
              <w:t>Capacity building programme developed</w:t>
            </w:r>
          </w:p>
          <w:p w14:paraId="5B19A96E" w14:textId="77777777" w:rsidR="00A446F2" w:rsidRPr="001F3F4E" w:rsidRDefault="00A446F2" w:rsidP="00A446F2">
            <w:pPr>
              <w:numPr>
                <w:ilvl w:val="0"/>
                <w:numId w:val="7"/>
              </w:numPr>
              <w:contextualSpacing/>
              <w:rPr>
                <w:rFonts w:asciiTheme="minorHAnsi" w:hAnsiTheme="minorHAnsi" w:cstheme="minorHAnsi"/>
                <w:lang w:val="en-GB" w:eastAsia="tr-TR"/>
              </w:rPr>
            </w:pPr>
            <w:r w:rsidRPr="001F3F4E">
              <w:rPr>
                <w:rFonts w:asciiTheme="minorHAnsi" w:hAnsiTheme="minorHAnsi" w:cstheme="minorHAnsi"/>
                <w:lang w:val="en-GB" w:eastAsia="tr-TR"/>
              </w:rPr>
              <w:t>Training programme developed</w:t>
            </w:r>
          </w:p>
          <w:p w14:paraId="0285D242" w14:textId="77777777" w:rsidR="00A446F2" w:rsidRPr="001F3F4E" w:rsidRDefault="00A446F2" w:rsidP="00A446F2">
            <w:pPr>
              <w:numPr>
                <w:ilvl w:val="0"/>
                <w:numId w:val="7"/>
              </w:numPr>
              <w:contextualSpacing/>
              <w:rPr>
                <w:rFonts w:asciiTheme="minorHAnsi" w:hAnsiTheme="minorHAnsi" w:cstheme="minorHAnsi"/>
                <w:lang w:val="en-GB" w:eastAsia="tr-TR"/>
              </w:rPr>
            </w:pPr>
            <w:r w:rsidRPr="001F3F4E">
              <w:rPr>
                <w:rFonts w:asciiTheme="minorHAnsi" w:hAnsiTheme="minorHAnsi" w:cstheme="minorHAnsi"/>
                <w:lang w:val="en-GB"/>
              </w:rPr>
              <w:t>Training programmes for strengthening the capacities of external associates and school associates to carry out external evaluation implemented and reports on training seminars developed</w:t>
            </w:r>
          </w:p>
          <w:p w14:paraId="62DFD3AA" w14:textId="77777777" w:rsidR="00A446F2" w:rsidRPr="001F3F4E" w:rsidRDefault="00A446F2" w:rsidP="00CF00C9">
            <w:pPr>
              <w:spacing w:after="160" w:line="259" w:lineRule="auto"/>
              <w:ind w:left="720"/>
              <w:contextualSpacing/>
              <w:rPr>
                <w:rFonts w:eastAsia="Calibri" w:cs="Calibri"/>
                <w:szCs w:val="22"/>
                <w:lang w:val="en-GB"/>
              </w:rPr>
            </w:pPr>
          </w:p>
        </w:tc>
      </w:tr>
      <w:tr w:rsidR="00A446F2" w:rsidRPr="001F3F4E" w14:paraId="0E266A3D" w14:textId="77777777" w:rsidTr="00CF00C9">
        <w:tc>
          <w:tcPr>
            <w:tcW w:w="99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7FF3012" w14:textId="77777777" w:rsidR="00A446F2" w:rsidRPr="001F3F4E" w:rsidRDefault="00A446F2" w:rsidP="00CF00C9">
            <w:pPr>
              <w:spacing w:after="120"/>
              <w:jc w:val="both"/>
              <w:rPr>
                <w:rFonts w:eastAsia="Calibri" w:cs="Calibri"/>
                <w:szCs w:val="22"/>
                <w:lang w:val="en-GB"/>
              </w:rPr>
            </w:pPr>
            <w:r w:rsidRPr="001F3F4E">
              <w:rPr>
                <w:rFonts w:eastAsia="Calibri" w:cs="Calibri"/>
                <w:szCs w:val="22"/>
                <w:lang w:val="en-GB"/>
              </w:rPr>
              <w:lastRenderedPageBreak/>
              <w:t>3.2.2</w:t>
            </w:r>
          </w:p>
        </w:tc>
        <w:tc>
          <w:tcPr>
            <w:tcW w:w="36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3E415DB" w14:textId="77777777" w:rsidR="00A446F2" w:rsidRPr="001F3F4E" w:rsidRDefault="00A446F2" w:rsidP="00CF00C9">
            <w:pPr>
              <w:rPr>
                <w:rFonts w:asciiTheme="minorHAnsi" w:hAnsiTheme="minorHAnsi" w:cstheme="minorHAnsi"/>
                <w:i/>
                <w:lang w:val="en-GB" w:eastAsia="tr-TR"/>
              </w:rPr>
            </w:pPr>
            <w:r w:rsidRPr="001F3F4E">
              <w:rPr>
                <w:rFonts w:asciiTheme="minorHAnsi" w:hAnsiTheme="minorHAnsi" w:cstheme="minorHAnsi"/>
                <w:i/>
                <w:lang w:val="en-GB" w:eastAsia="tr-TR"/>
              </w:rPr>
              <w:t>3.2.2.1. Carrying out training of external advisors and school professional associates in order to strengthen their professional competencies for external evaluation</w:t>
            </w:r>
          </w:p>
          <w:p w14:paraId="30273B04" w14:textId="77777777" w:rsidR="00A446F2" w:rsidRPr="001F3F4E" w:rsidRDefault="00A446F2" w:rsidP="00CF00C9">
            <w:pPr>
              <w:spacing w:after="120"/>
              <w:jc w:val="both"/>
              <w:rPr>
                <w:rFonts w:eastAsia="Calibri" w:cs="Calibri"/>
                <w:szCs w:val="22"/>
                <w:lang w:val="en-GB"/>
              </w:rPr>
            </w:pPr>
          </w:p>
        </w:tc>
        <w:tc>
          <w:tcPr>
            <w:tcW w:w="116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C0FD4BA" w14:textId="77777777" w:rsidR="00A446F2" w:rsidRPr="001F3F4E" w:rsidRDefault="00A446F2" w:rsidP="00CF00C9">
            <w:pPr>
              <w:spacing w:after="120"/>
              <w:jc w:val="both"/>
              <w:rPr>
                <w:rFonts w:eastAsia="Calibri" w:cs="Calibri"/>
                <w:b/>
                <w:szCs w:val="22"/>
                <w:lang w:val="en-GB"/>
              </w:rPr>
            </w:pPr>
            <w:r w:rsidRPr="001F3F4E">
              <w:rPr>
                <w:rFonts w:eastAsia="Calibri" w:cs="Calibri"/>
                <w:szCs w:val="22"/>
                <w:lang w:val="en-GB"/>
              </w:rPr>
              <w:t xml:space="preserve">10 </w:t>
            </w:r>
            <w:proofErr w:type="spellStart"/>
            <w:r w:rsidRPr="001F3F4E">
              <w:rPr>
                <w:rFonts w:eastAsia="Calibri" w:cs="Calibri"/>
                <w:szCs w:val="22"/>
                <w:lang w:val="en-GB"/>
              </w:rPr>
              <w:t>wd</w:t>
            </w:r>
            <w:proofErr w:type="spellEnd"/>
          </w:p>
        </w:tc>
        <w:tc>
          <w:tcPr>
            <w:tcW w:w="3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660E054" w14:textId="77777777" w:rsidR="00A446F2" w:rsidRPr="001F3F4E" w:rsidRDefault="00A446F2" w:rsidP="00A446F2">
            <w:pPr>
              <w:numPr>
                <w:ilvl w:val="0"/>
                <w:numId w:val="8"/>
              </w:numPr>
              <w:ind w:left="180" w:hanging="180"/>
              <w:contextualSpacing/>
              <w:rPr>
                <w:rFonts w:asciiTheme="minorHAnsi" w:hAnsiTheme="minorHAnsi" w:cstheme="minorHAnsi"/>
                <w:b/>
                <w:iCs/>
                <w:color w:val="000000"/>
                <w:lang w:val="en-GB"/>
              </w:rPr>
            </w:pPr>
            <w:r w:rsidRPr="001F3F4E">
              <w:rPr>
                <w:rFonts w:asciiTheme="minorHAnsi" w:hAnsiTheme="minorHAnsi" w:cstheme="minorHAnsi"/>
                <w:iCs/>
                <w:lang w:val="en-GB" w:eastAsia="tr-TR"/>
              </w:rPr>
              <w:t xml:space="preserve">Reports on training of advisors </w:t>
            </w:r>
          </w:p>
          <w:p w14:paraId="3D8ABAA0" w14:textId="77777777" w:rsidR="00A446F2" w:rsidRPr="001F3F4E" w:rsidRDefault="00A446F2" w:rsidP="00CF00C9">
            <w:pPr>
              <w:spacing w:after="120"/>
              <w:jc w:val="both"/>
              <w:rPr>
                <w:rFonts w:eastAsia="Calibri" w:cs="Calibri"/>
                <w:szCs w:val="22"/>
                <w:lang w:val="en-GB"/>
              </w:rPr>
            </w:pPr>
          </w:p>
        </w:tc>
      </w:tr>
      <w:tr w:rsidR="00A446F2" w:rsidRPr="001F3F4E" w14:paraId="3306F171" w14:textId="77777777" w:rsidTr="00CF00C9">
        <w:tc>
          <w:tcPr>
            <w:tcW w:w="99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2C65F07" w14:textId="77777777" w:rsidR="00A446F2" w:rsidRPr="001F3F4E" w:rsidRDefault="00A446F2" w:rsidP="00CF00C9">
            <w:pPr>
              <w:spacing w:after="120"/>
              <w:jc w:val="both"/>
              <w:rPr>
                <w:rFonts w:eastAsia="Calibri" w:cs="Calibri"/>
                <w:szCs w:val="22"/>
                <w:lang w:val="en-GB"/>
              </w:rPr>
            </w:pPr>
            <w:r w:rsidRPr="001F3F4E">
              <w:rPr>
                <w:rFonts w:eastAsia="Calibri" w:cs="Calibri"/>
                <w:szCs w:val="22"/>
                <w:lang w:val="en-GB"/>
              </w:rPr>
              <w:t>3.2.4</w:t>
            </w:r>
          </w:p>
        </w:tc>
        <w:tc>
          <w:tcPr>
            <w:tcW w:w="36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F388A93" w14:textId="77777777" w:rsidR="00A446F2" w:rsidRPr="001F3F4E" w:rsidRDefault="00A446F2" w:rsidP="00CF00C9">
            <w:pPr>
              <w:rPr>
                <w:rFonts w:asciiTheme="minorHAnsi" w:hAnsiTheme="minorHAnsi" w:cstheme="minorHAnsi"/>
                <w:i/>
                <w:color w:val="FF0000"/>
                <w:lang w:val="en-GB" w:eastAsia="tr-TR"/>
              </w:rPr>
            </w:pPr>
            <w:r w:rsidRPr="001F3F4E">
              <w:rPr>
                <w:rFonts w:asciiTheme="minorHAnsi" w:hAnsiTheme="minorHAnsi" w:cstheme="minorHAnsi"/>
                <w:i/>
                <w:lang w:val="en-GB" w:eastAsia="tr-TR"/>
              </w:rPr>
              <w:t>3.2.4.1. Review of the revised concept and implementation of the final exam at the</w:t>
            </w:r>
            <w:r w:rsidRPr="001F3F4E">
              <w:rPr>
                <w:rFonts w:asciiTheme="minorHAnsi" w:hAnsiTheme="minorHAnsi" w:cstheme="minorHAnsi"/>
                <w:lang w:val="en-GB" w:eastAsia="tr-TR"/>
              </w:rPr>
              <w:t xml:space="preserve"> </w:t>
            </w:r>
            <w:r w:rsidRPr="001F3F4E">
              <w:rPr>
                <w:rFonts w:asciiTheme="minorHAnsi" w:hAnsiTheme="minorHAnsi" w:cstheme="minorHAnsi"/>
                <w:i/>
                <w:lang w:val="en-GB" w:eastAsia="tr-TR"/>
              </w:rPr>
              <w:t xml:space="preserve">end of primary education and development of the recommendations for further improvement </w:t>
            </w:r>
          </w:p>
          <w:p w14:paraId="77290D21" w14:textId="77777777" w:rsidR="00A446F2" w:rsidRPr="001F3F4E" w:rsidRDefault="00A446F2" w:rsidP="00CF00C9">
            <w:pPr>
              <w:rPr>
                <w:rFonts w:asciiTheme="minorHAnsi" w:hAnsiTheme="minorHAnsi" w:cstheme="minorHAnsi"/>
                <w:lang w:val="en-GB" w:eastAsia="tr-TR"/>
              </w:rPr>
            </w:pPr>
          </w:p>
          <w:p w14:paraId="7CE9A21F" w14:textId="77777777" w:rsidR="00A446F2" w:rsidRPr="001F3F4E" w:rsidRDefault="00A446F2" w:rsidP="00CF00C9">
            <w:pPr>
              <w:rPr>
                <w:rFonts w:asciiTheme="minorHAnsi" w:hAnsiTheme="minorHAnsi" w:cstheme="minorHAnsi"/>
                <w:i/>
                <w:lang w:val="en-GB" w:eastAsia="tr-TR"/>
              </w:rPr>
            </w:pPr>
            <w:r w:rsidRPr="001F3F4E">
              <w:rPr>
                <w:rFonts w:asciiTheme="minorHAnsi" w:hAnsiTheme="minorHAnsi" w:cstheme="minorHAnsi"/>
                <w:i/>
                <w:lang w:val="en-GB" w:eastAsia="tr-TR"/>
              </w:rPr>
              <w:t xml:space="preserve">3.2.4.2. Presentation of recommendations to </w:t>
            </w:r>
            <w:proofErr w:type="spellStart"/>
            <w:r w:rsidRPr="001F3F4E">
              <w:rPr>
                <w:rFonts w:asciiTheme="minorHAnsi" w:hAnsiTheme="minorHAnsi" w:cstheme="minorHAnsi"/>
                <w:i/>
                <w:lang w:val="en-GB" w:eastAsia="tr-TR"/>
              </w:rPr>
              <w:t>MoESTD</w:t>
            </w:r>
            <w:proofErr w:type="spellEnd"/>
            <w:r w:rsidRPr="001F3F4E">
              <w:rPr>
                <w:rFonts w:asciiTheme="minorHAnsi" w:hAnsiTheme="minorHAnsi" w:cstheme="minorHAnsi"/>
                <w:i/>
                <w:lang w:val="en-GB" w:eastAsia="tr-TR"/>
              </w:rPr>
              <w:t xml:space="preserve"> and IEQE representatives</w:t>
            </w:r>
          </w:p>
          <w:p w14:paraId="29FD7846" w14:textId="77777777" w:rsidR="00A446F2" w:rsidRPr="001F3F4E" w:rsidRDefault="00A446F2" w:rsidP="00CF00C9">
            <w:pPr>
              <w:rPr>
                <w:rFonts w:asciiTheme="minorHAnsi" w:hAnsiTheme="minorHAnsi" w:cstheme="minorHAnsi"/>
                <w:i/>
                <w:lang w:val="en-GB" w:eastAsia="tr-TR"/>
              </w:rPr>
            </w:pPr>
          </w:p>
          <w:p w14:paraId="7BFBD664" w14:textId="77777777" w:rsidR="00A446F2" w:rsidRPr="001F3F4E" w:rsidRDefault="00A446F2" w:rsidP="00CF00C9">
            <w:pPr>
              <w:rPr>
                <w:rFonts w:asciiTheme="minorHAnsi" w:hAnsiTheme="minorHAnsi" w:cstheme="minorHAnsi"/>
                <w:lang w:val="en-GB" w:eastAsia="tr-TR"/>
              </w:rPr>
            </w:pPr>
            <w:r w:rsidRPr="001F3F4E">
              <w:rPr>
                <w:rFonts w:asciiTheme="minorHAnsi" w:hAnsiTheme="minorHAnsi" w:cstheme="minorHAnsi"/>
                <w:i/>
                <w:lang w:val="en-GB" w:eastAsia="tr-TR"/>
              </w:rPr>
              <w:t>3.2.4.3.</w:t>
            </w:r>
            <w:r w:rsidRPr="001F3F4E">
              <w:rPr>
                <w:rFonts w:asciiTheme="minorHAnsi" w:hAnsiTheme="minorHAnsi" w:cstheme="minorHAnsi"/>
                <w:lang w:val="en-GB" w:eastAsia="tr-TR"/>
              </w:rPr>
              <w:t xml:space="preserve"> </w:t>
            </w:r>
            <w:r w:rsidRPr="001F3F4E">
              <w:rPr>
                <w:rFonts w:asciiTheme="minorHAnsi" w:hAnsiTheme="minorHAnsi" w:cstheme="minorHAnsi"/>
                <w:i/>
                <w:lang w:val="en-GB" w:eastAsia="tr-TR"/>
              </w:rPr>
              <w:t xml:space="preserve">Providing support </w:t>
            </w:r>
            <w:proofErr w:type="spellStart"/>
            <w:r w:rsidRPr="001F3F4E">
              <w:rPr>
                <w:rFonts w:asciiTheme="minorHAnsi" w:hAnsiTheme="minorHAnsi" w:cstheme="minorHAnsi"/>
                <w:i/>
                <w:lang w:val="en-GB" w:eastAsia="tr-TR"/>
              </w:rPr>
              <w:t>MoESTD</w:t>
            </w:r>
            <w:proofErr w:type="spellEnd"/>
            <w:r w:rsidRPr="001F3F4E">
              <w:rPr>
                <w:rFonts w:asciiTheme="minorHAnsi" w:hAnsiTheme="minorHAnsi" w:cstheme="minorHAnsi"/>
                <w:i/>
                <w:lang w:val="en-GB" w:eastAsia="tr-TR"/>
              </w:rPr>
              <w:t xml:space="preserve"> and IEQE in revision of the bylaw on implementation of the final exam at the end of primary education  </w:t>
            </w:r>
          </w:p>
          <w:p w14:paraId="075CA6AE" w14:textId="77777777" w:rsidR="00A446F2" w:rsidRPr="001F3F4E" w:rsidRDefault="00A446F2" w:rsidP="00CF00C9">
            <w:pPr>
              <w:spacing w:after="120"/>
              <w:jc w:val="both"/>
              <w:rPr>
                <w:rFonts w:eastAsia="Calibri" w:cs="Calibri"/>
                <w:szCs w:val="22"/>
                <w:lang w:val="en-GB"/>
              </w:rPr>
            </w:pPr>
          </w:p>
        </w:tc>
        <w:tc>
          <w:tcPr>
            <w:tcW w:w="116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8730781" w14:textId="77777777" w:rsidR="00A446F2" w:rsidRPr="001F3F4E" w:rsidRDefault="00A446F2" w:rsidP="00CF00C9">
            <w:pPr>
              <w:spacing w:after="120"/>
              <w:jc w:val="both"/>
              <w:rPr>
                <w:rFonts w:eastAsia="Calibri" w:cs="Calibri"/>
                <w:b/>
                <w:szCs w:val="22"/>
                <w:lang w:val="en-GB"/>
              </w:rPr>
            </w:pPr>
            <w:r w:rsidRPr="001F3F4E">
              <w:rPr>
                <w:rFonts w:eastAsia="Calibri" w:cs="Calibri"/>
                <w:szCs w:val="22"/>
                <w:lang w:val="en-GB"/>
              </w:rPr>
              <w:t xml:space="preserve">15 </w:t>
            </w:r>
            <w:proofErr w:type="spellStart"/>
            <w:r w:rsidRPr="001F3F4E">
              <w:rPr>
                <w:rFonts w:eastAsia="Calibri" w:cs="Calibri"/>
                <w:szCs w:val="22"/>
                <w:lang w:val="en-GB"/>
              </w:rPr>
              <w:t>wd</w:t>
            </w:r>
            <w:proofErr w:type="spellEnd"/>
          </w:p>
        </w:tc>
        <w:tc>
          <w:tcPr>
            <w:tcW w:w="3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FF38C5F" w14:textId="77777777" w:rsidR="00A446F2" w:rsidRPr="001F3F4E" w:rsidRDefault="00A446F2" w:rsidP="00A446F2">
            <w:pPr>
              <w:numPr>
                <w:ilvl w:val="0"/>
                <w:numId w:val="8"/>
              </w:numPr>
              <w:ind w:left="180" w:hanging="180"/>
              <w:contextualSpacing/>
              <w:rPr>
                <w:rFonts w:asciiTheme="minorHAnsi" w:hAnsiTheme="minorHAnsi" w:cstheme="minorHAnsi"/>
                <w:iCs/>
                <w:lang w:val="en-GB" w:eastAsia="tr-TR"/>
              </w:rPr>
            </w:pPr>
            <w:r w:rsidRPr="001F3F4E">
              <w:rPr>
                <w:rFonts w:asciiTheme="minorHAnsi" w:hAnsiTheme="minorHAnsi" w:cstheme="minorHAnsi"/>
                <w:iCs/>
                <w:lang w:val="en-GB" w:eastAsia="tr-TR"/>
              </w:rPr>
              <w:t>Report on review of the revised concept and implementation of the final exam at the end of primary education including recommendation for further improvement</w:t>
            </w:r>
          </w:p>
          <w:p w14:paraId="7D5CEE4D" w14:textId="77777777" w:rsidR="00A446F2" w:rsidRPr="001F3F4E" w:rsidRDefault="00A446F2" w:rsidP="00A446F2">
            <w:pPr>
              <w:numPr>
                <w:ilvl w:val="0"/>
                <w:numId w:val="8"/>
              </w:numPr>
              <w:ind w:left="180" w:hanging="180"/>
              <w:contextualSpacing/>
              <w:rPr>
                <w:rFonts w:asciiTheme="minorHAnsi" w:hAnsiTheme="minorHAnsi" w:cstheme="minorHAnsi"/>
                <w:iCs/>
                <w:lang w:val="en-GB" w:eastAsia="tr-TR"/>
              </w:rPr>
            </w:pPr>
            <w:r w:rsidRPr="001F3F4E">
              <w:rPr>
                <w:rFonts w:asciiTheme="minorHAnsi" w:hAnsiTheme="minorHAnsi" w:cstheme="minorHAnsi"/>
                <w:iCs/>
                <w:lang w:val="en-GB" w:eastAsia="tr-TR"/>
              </w:rPr>
              <w:t xml:space="preserve">Revised bylaw on implementation of the final exam at the end of primary education </w:t>
            </w:r>
          </w:p>
          <w:p w14:paraId="712EFF59" w14:textId="77777777" w:rsidR="00A446F2" w:rsidRPr="001F3F4E" w:rsidRDefault="00A446F2" w:rsidP="00CF00C9">
            <w:pPr>
              <w:spacing w:after="120"/>
              <w:jc w:val="both"/>
              <w:rPr>
                <w:rFonts w:eastAsia="Calibri" w:cs="Calibri"/>
                <w:szCs w:val="22"/>
                <w:lang w:val="en-GB"/>
              </w:rPr>
            </w:pPr>
          </w:p>
        </w:tc>
      </w:tr>
      <w:tr w:rsidR="00A446F2" w:rsidRPr="001F3F4E" w14:paraId="19AC3250" w14:textId="77777777" w:rsidTr="00CF00C9">
        <w:tc>
          <w:tcPr>
            <w:tcW w:w="99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C695C7C" w14:textId="77777777" w:rsidR="00A446F2" w:rsidRPr="001F3F4E" w:rsidRDefault="00A446F2" w:rsidP="00CF00C9">
            <w:pPr>
              <w:spacing w:after="120"/>
              <w:jc w:val="both"/>
              <w:rPr>
                <w:rFonts w:eastAsia="Calibri" w:cs="Calibri"/>
                <w:szCs w:val="22"/>
                <w:lang w:val="en-GB"/>
              </w:rPr>
            </w:pPr>
            <w:r w:rsidRPr="001F3F4E">
              <w:rPr>
                <w:rFonts w:eastAsia="Calibri" w:cs="Calibri"/>
                <w:b/>
                <w:szCs w:val="22"/>
                <w:lang w:val="en-GB"/>
              </w:rPr>
              <w:t xml:space="preserve">Total </w:t>
            </w:r>
          </w:p>
        </w:tc>
        <w:tc>
          <w:tcPr>
            <w:tcW w:w="36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10DD21E" w14:textId="77777777" w:rsidR="00A446F2" w:rsidRPr="001F3F4E" w:rsidRDefault="00A446F2" w:rsidP="00CF00C9">
            <w:pPr>
              <w:spacing w:after="120"/>
              <w:jc w:val="both"/>
              <w:rPr>
                <w:rFonts w:eastAsia="Calibri" w:cs="Calibri"/>
                <w:szCs w:val="22"/>
                <w:lang w:val="en-GB"/>
              </w:rPr>
            </w:pPr>
          </w:p>
        </w:tc>
        <w:tc>
          <w:tcPr>
            <w:tcW w:w="116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A42B744" w14:textId="77777777" w:rsidR="00A446F2" w:rsidRPr="001F3F4E" w:rsidRDefault="00A446F2" w:rsidP="00CF00C9">
            <w:pPr>
              <w:spacing w:after="120"/>
              <w:jc w:val="both"/>
              <w:rPr>
                <w:rFonts w:eastAsia="Calibri" w:cs="Calibri"/>
                <w:szCs w:val="22"/>
                <w:lang w:val="en-GB"/>
              </w:rPr>
            </w:pPr>
            <w:r w:rsidRPr="007E2E7C">
              <w:rPr>
                <w:rFonts w:eastAsia="Calibri" w:cs="Calibri"/>
                <w:b/>
                <w:szCs w:val="22"/>
                <w:lang w:val="en-GB"/>
              </w:rPr>
              <w:t>164</w:t>
            </w:r>
            <w:r w:rsidRPr="001F3F4E">
              <w:rPr>
                <w:rFonts w:eastAsia="Calibri" w:cs="Calibri"/>
                <w:b/>
                <w:szCs w:val="22"/>
                <w:lang w:val="en-GB"/>
              </w:rPr>
              <w:t xml:space="preserve"> WD</w:t>
            </w:r>
          </w:p>
        </w:tc>
        <w:tc>
          <w:tcPr>
            <w:tcW w:w="3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C7D9AE6" w14:textId="77777777" w:rsidR="00A446F2" w:rsidRPr="001F3F4E" w:rsidRDefault="00A446F2" w:rsidP="00CF00C9">
            <w:pPr>
              <w:spacing w:after="120"/>
              <w:jc w:val="both"/>
              <w:rPr>
                <w:rFonts w:eastAsia="Calibri" w:cs="Calibri"/>
                <w:szCs w:val="22"/>
                <w:lang w:val="en-GB"/>
              </w:rPr>
            </w:pPr>
          </w:p>
        </w:tc>
      </w:tr>
    </w:tbl>
    <w:p w14:paraId="05DBF8B0" w14:textId="77777777" w:rsidR="008E08EA" w:rsidRPr="008E08EA" w:rsidRDefault="008E08EA" w:rsidP="008E08EA">
      <w:pPr>
        <w:spacing w:after="120"/>
        <w:jc w:val="both"/>
        <w:rPr>
          <w:rFonts w:eastAsia="Calibri" w:cs="Calibri"/>
          <w:b/>
          <w:i/>
          <w:color w:val="FF6600"/>
          <w:szCs w:val="22"/>
          <w:lang w:val="en-GB"/>
        </w:rPr>
      </w:pPr>
    </w:p>
    <w:p w14:paraId="62E03766" w14:textId="77777777" w:rsidR="008E08EA" w:rsidRPr="008E08EA" w:rsidRDefault="008E08EA" w:rsidP="008E08EA">
      <w:pPr>
        <w:spacing w:after="120"/>
        <w:jc w:val="both"/>
        <w:rPr>
          <w:rFonts w:eastAsia="Calibri" w:cs="Calibri"/>
          <w:i/>
          <w:szCs w:val="22"/>
          <w:lang w:val="en-GB"/>
        </w:rPr>
      </w:pPr>
      <w:r w:rsidRPr="008E08EA">
        <w:rPr>
          <w:rFonts w:eastAsia="Calibri" w:cs="Calibri"/>
          <w:b/>
          <w:i/>
          <w:color w:val="FF6600"/>
          <w:szCs w:val="22"/>
          <w:lang w:val="en-GB"/>
        </w:rPr>
        <w:t>Note:</w:t>
      </w:r>
      <w:r w:rsidRPr="008E08EA">
        <w:rPr>
          <w:rFonts w:eastAsia="Calibri" w:cs="Calibri"/>
          <w:i/>
          <w:sz w:val="24"/>
          <w:lang w:val="en-GB"/>
        </w:rPr>
        <w:tab/>
      </w:r>
      <w:r w:rsidRPr="008E08EA">
        <w:rPr>
          <w:rFonts w:eastAsia="Calibri" w:cs="Calibri"/>
          <w:i/>
          <w:sz w:val="24"/>
          <w:lang w:val="en-GB"/>
        </w:rPr>
        <w:tab/>
      </w:r>
      <w:r w:rsidRPr="008E08EA">
        <w:rPr>
          <w:rFonts w:eastAsia="Calibri" w:cs="Calibri"/>
          <w:i/>
          <w:sz w:val="24"/>
          <w:lang w:val="en-GB"/>
        </w:rPr>
        <w:tab/>
      </w:r>
      <w:r w:rsidRPr="008E08EA">
        <w:rPr>
          <w:rFonts w:eastAsia="Calibri" w:cs="Calibri"/>
          <w:i/>
          <w:sz w:val="24"/>
          <w:lang w:val="en-GB"/>
        </w:rPr>
        <w:tab/>
      </w:r>
      <w:r w:rsidRPr="008E08EA">
        <w:rPr>
          <w:rFonts w:eastAsia="Calibri" w:cs="Calibri"/>
          <w:i/>
          <w:szCs w:val="22"/>
          <w:lang w:val="en-GB"/>
        </w:rPr>
        <w:t xml:space="preserve">For more information see the </w:t>
      </w:r>
      <w:proofErr w:type="spellStart"/>
      <w:r w:rsidRPr="008E08EA">
        <w:rPr>
          <w:rFonts w:eastAsia="Calibri" w:cs="Calibri"/>
          <w:i/>
          <w:szCs w:val="22"/>
          <w:lang w:val="en-GB"/>
        </w:rPr>
        <w:t>ToR</w:t>
      </w:r>
      <w:proofErr w:type="spellEnd"/>
    </w:p>
    <w:p w14:paraId="4EBA3E7D" w14:textId="77777777" w:rsidR="008E08EA" w:rsidRPr="008E08EA" w:rsidRDefault="008E08EA" w:rsidP="008E08EA">
      <w:pPr>
        <w:spacing w:after="120"/>
        <w:jc w:val="both"/>
        <w:rPr>
          <w:rFonts w:eastAsia="Calibri" w:cs="Calibri"/>
          <w:szCs w:val="22"/>
          <w:lang w:val="en-GB"/>
        </w:rPr>
      </w:pPr>
      <w:r w:rsidRPr="008E08EA">
        <w:rPr>
          <w:rFonts w:eastAsia="Calibri" w:cs="Calibri"/>
          <w:b/>
          <w:i/>
          <w:color w:val="FF6600"/>
          <w:szCs w:val="22"/>
          <w:lang w:val="en-GB"/>
        </w:rPr>
        <w:t>Number of required experts:</w:t>
      </w:r>
      <w:r w:rsidRPr="008E08EA">
        <w:rPr>
          <w:rFonts w:eastAsia="Calibri" w:cs="Calibri"/>
          <w:szCs w:val="22"/>
          <w:lang w:val="en-GB"/>
        </w:rPr>
        <w:tab/>
        <w:t>One (1) Senior Non-Key Expert</w:t>
      </w:r>
    </w:p>
    <w:p w14:paraId="59FC139B" w14:textId="208AB7D7" w:rsidR="008E08EA" w:rsidRPr="008E08EA" w:rsidRDefault="008E08EA" w:rsidP="008E08EA">
      <w:pPr>
        <w:spacing w:after="120"/>
        <w:jc w:val="both"/>
        <w:rPr>
          <w:rFonts w:eastAsia="Calibri" w:cs="Calibri"/>
          <w:szCs w:val="22"/>
          <w:lang w:val="en-GB"/>
        </w:rPr>
      </w:pPr>
      <w:r w:rsidRPr="008E08EA">
        <w:rPr>
          <w:rFonts w:eastAsia="Calibri" w:cs="Calibri"/>
          <w:b/>
          <w:bCs/>
          <w:i/>
          <w:color w:val="FF6600"/>
          <w:szCs w:val="22"/>
          <w:lang w:val="en-GB"/>
        </w:rPr>
        <w:t>Duration of the assignment:</w:t>
      </w:r>
      <w:r w:rsidRPr="008E08EA">
        <w:rPr>
          <w:rFonts w:eastAsia="Calibri" w:cs="Calibri"/>
          <w:b/>
          <w:bCs/>
          <w:i/>
          <w:color w:val="FF6600"/>
          <w:szCs w:val="22"/>
          <w:lang w:val="en-GB"/>
        </w:rPr>
        <w:tab/>
      </w:r>
      <w:r w:rsidR="00A446F2">
        <w:rPr>
          <w:rFonts w:eastAsia="Calibri" w:cs="Calibri"/>
          <w:szCs w:val="22"/>
          <w:lang w:val="en-GB"/>
        </w:rPr>
        <w:t>Up to a total of 164</w:t>
      </w:r>
      <w:r w:rsidRPr="008E08EA">
        <w:rPr>
          <w:rFonts w:eastAsia="Calibri" w:cs="Calibri"/>
          <w:szCs w:val="22"/>
          <w:lang w:val="en-GB"/>
        </w:rPr>
        <w:t xml:space="preserve"> working days</w:t>
      </w:r>
    </w:p>
    <w:p w14:paraId="3689051D" w14:textId="7FE2A43E" w:rsidR="008E08EA" w:rsidRPr="008E08EA" w:rsidRDefault="008E08EA" w:rsidP="008E08EA">
      <w:pPr>
        <w:spacing w:after="120"/>
        <w:jc w:val="both"/>
        <w:rPr>
          <w:rFonts w:eastAsia="Calibri" w:cs="Calibri"/>
          <w:sz w:val="24"/>
          <w:lang w:val="en-GB"/>
        </w:rPr>
      </w:pPr>
      <w:r w:rsidRPr="008E08EA">
        <w:rPr>
          <w:rFonts w:eastAsia="Calibri" w:cs="Calibri"/>
          <w:b/>
          <w:bCs/>
          <w:i/>
          <w:color w:val="FF6600"/>
          <w:szCs w:val="22"/>
          <w:lang w:val="en-GB"/>
        </w:rPr>
        <w:t>Period of assignment:</w:t>
      </w:r>
      <w:r w:rsidRPr="008E08EA">
        <w:rPr>
          <w:rFonts w:eastAsia="Calibri" w:cs="Calibri"/>
          <w:sz w:val="24"/>
          <w:lang w:val="en-GB"/>
        </w:rPr>
        <w:tab/>
      </w:r>
      <w:r w:rsidRPr="008E08EA">
        <w:rPr>
          <w:rFonts w:eastAsia="Calibri" w:cs="Calibri"/>
          <w:sz w:val="24"/>
          <w:lang w:val="en-GB"/>
        </w:rPr>
        <w:tab/>
      </w:r>
      <w:r w:rsidR="00A446F2">
        <w:rPr>
          <w:rFonts w:eastAsia="Calibri" w:cs="Calibri"/>
          <w:szCs w:val="22"/>
          <w:lang w:val="en-GB"/>
        </w:rPr>
        <w:t>April 2020 - February 2022</w:t>
      </w:r>
      <w:r w:rsidRPr="008E08EA">
        <w:rPr>
          <w:rFonts w:eastAsia="Calibri" w:cs="Calibri"/>
          <w:sz w:val="24"/>
          <w:lang w:val="en-GB"/>
        </w:rPr>
        <w:t>.</w:t>
      </w:r>
    </w:p>
    <w:p w14:paraId="41960147" w14:textId="77777777" w:rsidR="008E08EA" w:rsidRPr="008E08EA" w:rsidRDefault="008E08EA" w:rsidP="008E08EA">
      <w:pPr>
        <w:spacing w:after="120"/>
        <w:jc w:val="both"/>
        <w:rPr>
          <w:rFonts w:eastAsia="Calibri" w:cs="Calibri"/>
          <w:szCs w:val="22"/>
          <w:lang w:val="en-GB"/>
        </w:rPr>
      </w:pPr>
      <w:r w:rsidRPr="008E08EA">
        <w:rPr>
          <w:rFonts w:eastAsia="Calibri" w:cs="Calibri"/>
          <w:b/>
          <w:i/>
          <w:color w:val="FF6600"/>
          <w:szCs w:val="22"/>
          <w:lang w:val="en-GB"/>
        </w:rPr>
        <w:t>Place of assignment:</w:t>
      </w:r>
      <w:r w:rsidRPr="008E08EA">
        <w:rPr>
          <w:rFonts w:eastAsia="Calibri" w:cs="Calibri"/>
          <w:b/>
          <w:i/>
          <w:color w:val="FF6600"/>
          <w:szCs w:val="22"/>
          <w:lang w:val="en-GB"/>
        </w:rPr>
        <w:tab/>
      </w:r>
      <w:r w:rsidRPr="008E08EA">
        <w:rPr>
          <w:rFonts w:eastAsia="Calibri" w:cs="Calibri"/>
          <w:sz w:val="24"/>
          <w:lang w:val="en-GB"/>
        </w:rPr>
        <w:tab/>
      </w:r>
      <w:r w:rsidRPr="008E08EA">
        <w:rPr>
          <w:rFonts w:eastAsia="Calibri" w:cs="Calibri"/>
          <w:szCs w:val="22"/>
          <w:lang w:val="en-GB"/>
        </w:rPr>
        <w:t>Belgrade, Serbia</w:t>
      </w:r>
    </w:p>
    <w:p w14:paraId="32BBCF2B" w14:textId="77777777" w:rsidR="008E08EA" w:rsidRPr="008E08EA" w:rsidRDefault="008E08EA" w:rsidP="008E08EA">
      <w:pPr>
        <w:spacing w:after="120"/>
        <w:jc w:val="both"/>
        <w:rPr>
          <w:rFonts w:eastAsia="Calibri" w:cs="Calibri"/>
          <w:bCs/>
          <w:szCs w:val="22"/>
          <w:lang w:val="en-GB"/>
        </w:rPr>
      </w:pPr>
      <w:r w:rsidRPr="008E08EA">
        <w:rPr>
          <w:rFonts w:eastAsia="Calibri" w:cs="Calibri"/>
          <w:b/>
          <w:bCs/>
          <w:i/>
          <w:color w:val="FF6600"/>
          <w:szCs w:val="22"/>
          <w:lang w:val="en-GB"/>
        </w:rPr>
        <w:t>Working language:</w:t>
      </w:r>
      <w:r w:rsidRPr="008E08EA">
        <w:rPr>
          <w:rFonts w:eastAsia="Calibri" w:cs="Calibri"/>
          <w:b/>
          <w:bCs/>
          <w:i/>
          <w:color w:val="FF6600"/>
          <w:szCs w:val="22"/>
          <w:lang w:val="en-GB"/>
        </w:rPr>
        <w:tab/>
      </w:r>
      <w:r w:rsidRPr="008E08EA">
        <w:rPr>
          <w:rFonts w:eastAsia="Calibri" w:cs="Calibri"/>
          <w:b/>
          <w:bCs/>
          <w:i/>
          <w:color w:val="FF6600"/>
          <w:szCs w:val="22"/>
          <w:lang w:val="en-GB"/>
        </w:rPr>
        <w:tab/>
      </w:r>
      <w:r w:rsidRPr="008E08EA">
        <w:rPr>
          <w:rFonts w:eastAsia="Calibri" w:cs="Calibri"/>
          <w:bCs/>
          <w:szCs w:val="22"/>
          <w:lang w:val="en-GB"/>
        </w:rPr>
        <w:t>English</w:t>
      </w:r>
    </w:p>
    <w:p w14:paraId="6A077E4F" w14:textId="77777777" w:rsidR="008E08EA" w:rsidRPr="008E08EA" w:rsidRDefault="008E08EA" w:rsidP="008E08EA">
      <w:pPr>
        <w:spacing w:after="120"/>
        <w:jc w:val="both"/>
        <w:rPr>
          <w:rFonts w:eastAsia="Calibri" w:cs="Calibri"/>
          <w:b/>
          <w:i/>
          <w:color w:val="FF6600"/>
          <w:szCs w:val="22"/>
          <w:lang w:val="en-GB"/>
        </w:rPr>
      </w:pPr>
    </w:p>
    <w:p w14:paraId="3C8586CC" w14:textId="77777777" w:rsidR="008E08EA" w:rsidRPr="008E08EA" w:rsidRDefault="008E08EA" w:rsidP="008E08EA">
      <w:pPr>
        <w:spacing w:after="120"/>
        <w:jc w:val="both"/>
        <w:rPr>
          <w:rFonts w:eastAsia="Calibri" w:cs="Calibri"/>
          <w:b/>
          <w:i/>
          <w:color w:val="FF6600"/>
          <w:szCs w:val="22"/>
          <w:lang w:val="en-GB"/>
        </w:rPr>
      </w:pPr>
      <w:r w:rsidRPr="008E08EA">
        <w:rPr>
          <w:rFonts w:eastAsia="Calibri" w:cs="Calibri"/>
          <w:b/>
          <w:i/>
          <w:color w:val="FF6600"/>
          <w:szCs w:val="22"/>
          <w:lang w:val="en-GB"/>
        </w:rPr>
        <w:t>Requirements for the position</w:t>
      </w:r>
    </w:p>
    <w:tbl>
      <w:tblPr>
        <w:tblW w:w="0" w:type="auto"/>
        <w:tblInd w:w="108" w:type="dxa"/>
        <w:tblCellMar>
          <w:left w:w="10" w:type="dxa"/>
          <w:right w:w="10" w:type="dxa"/>
        </w:tblCellMar>
        <w:tblLook w:val="0000" w:firstRow="0" w:lastRow="0" w:firstColumn="0" w:lastColumn="0" w:noHBand="0" w:noVBand="0"/>
      </w:tblPr>
      <w:tblGrid>
        <w:gridCol w:w="8955"/>
      </w:tblGrid>
      <w:tr w:rsidR="00A446F2" w:rsidRPr="001F3F4E" w14:paraId="66D99C4D" w14:textId="77777777" w:rsidTr="00CF00C9">
        <w:tc>
          <w:tcPr>
            <w:tcW w:w="9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780A53" w14:textId="77777777" w:rsidR="00A446F2" w:rsidRPr="001F3F4E" w:rsidRDefault="00A446F2" w:rsidP="00CF00C9">
            <w:pPr>
              <w:tabs>
                <w:tab w:val="left" w:pos="360"/>
              </w:tabs>
              <w:spacing w:after="120"/>
              <w:ind w:right="900"/>
              <w:rPr>
                <w:rFonts w:eastAsia="Calibri" w:cs="Calibri"/>
                <w:i/>
                <w:szCs w:val="22"/>
                <w:u w:val="single"/>
                <w:lang w:val="en-GB"/>
              </w:rPr>
            </w:pPr>
            <w:r w:rsidRPr="001F3F4E">
              <w:rPr>
                <w:rFonts w:eastAsia="Calibri" w:cs="Calibri"/>
                <w:i/>
                <w:szCs w:val="22"/>
                <w:u w:val="single"/>
                <w:lang w:val="en-GB"/>
              </w:rPr>
              <w:t>Qualifications and skills:</w:t>
            </w:r>
          </w:p>
          <w:p w14:paraId="7D30ECD0" w14:textId="77777777" w:rsidR="00A446F2" w:rsidRPr="001F3F4E" w:rsidRDefault="00A446F2" w:rsidP="00A446F2">
            <w:pPr>
              <w:pStyle w:val="ListParagraph"/>
              <w:numPr>
                <w:ilvl w:val="0"/>
                <w:numId w:val="11"/>
              </w:numPr>
              <w:tabs>
                <w:tab w:val="left" w:pos="360"/>
              </w:tabs>
              <w:ind w:right="902"/>
              <w:jc w:val="both"/>
              <w:rPr>
                <w:rFonts w:asciiTheme="minorHAnsi" w:hAnsiTheme="minorHAnsi" w:cstheme="minorHAnsi"/>
                <w:i/>
                <w:u w:val="single"/>
              </w:rPr>
            </w:pPr>
            <w:r w:rsidRPr="001F3F4E">
              <w:rPr>
                <w:rFonts w:asciiTheme="minorHAnsi" w:hAnsiTheme="minorHAnsi" w:cstheme="minorHAnsi"/>
                <w:i/>
              </w:rPr>
              <w:t>A University Degree (where a university degree has been awarded on completion of three (3) years of study in a university or equivalent institution) in education, humanities, political science, pedagogy, psychology, andragogy, or other relevant human development subject or at least 5 years of relevant professional experience in addition to relevant General Professional Experience</w:t>
            </w:r>
          </w:p>
          <w:p w14:paraId="58F9DF86" w14:textId="77777777" w:rsidR="00A446F2" w:rsidRPr="001F3F4E" w:rsidRDefault="00A446F2" w:rsidP="00A446F2">
            <w:pPr>
              <w:numPr>
                <w:ilvl w:val="0"/>
                <w:numId w:val="9"/>
              </w:numPr>
              <w:tabs>
                <w:tab w:val="left" w:pos="360"/>
              </w:tabs>
              <w:ind w:left="714" w:right="902" w:hanging="357"/>
              <w:rPr>
                <w:rFonts w:eastAsia="Calibri" w:cs="Calibri"/>
                <w:i/>
                <w:szCs w:val="22"/>
                <w:u w:val="single"/>
                <w:lang w:val="en-GB"/>
              </w:rPr>
            </w:pPr>
            <w:r w:rsidRPr="001F3F4E">
              <w:rPr>
                <w:rFonts w:eastAsia="Calibri" w:cs="Calibri"/>
                <w:i/>
                <w:szCs w:val="22"/>
                <w:lang w:val="en-GB"/>
              </w:rPr>
              <w:t>Proficiency in written and spoken English</w:t>
            </w:r>
          </w:p>
          <w:p w14:paraId="0500EA2E" w14:textId="77777777" w:rsidR="00A446F2" w:rsidRPr="001F3F4E" w:rsidRDefault="00A446F2" w:rsidP="00A446F2">
            <w:pPr>
              <w:numPr>
                <w:ilvl w:val="0"/>
                <w:numId w:val="9"/>
              </w:numPr>
              <w:tabs>
                <w:tab w:val="left" w:pos="360"/>
              </w:tabs>
              <w:ind w:left="714" w:right="902" w:hanging="357"/>
              <w:rPr>
                <w:rFonts w:eastAsia="Calibri" w:cs="Calibri"/>
                <w:i/>
                <w:szCs w:val="22"/>
                <w:u w:val="single"/>
                <w:lang w:val="en-GB"/>
              </w:rPr>
            </w:pPr>
            <w:r w:rsidRPr="001F3F4E">
              <w:rPr>
                <w:rFonts w:eastAsia="Calibri" w:cs="Calibri"/>
                <w:i/>
                <w:szCs w:val="22"/>
                <w:lang w:val="en-GB"/>
              </w:rPr>
              <w:t xml:space="preserve">Have excellent oral and written communication and analytical skills </w:t>
            </w:r>
          </w:p>
          <w:p w14:paraId="0F2499AA" w14:textId="77777777" w:rsidR="00A446F2" w:rsidRPr="001F3F4E" w:rsidRDefault="00A446F2" w:rsidP="00A446F2">
            <w:pPr>
              <w:numPr>
                <w:ilvl w:val="0"/>
                <w:numId w:val="9"/>
              </w:numPr>
              <w:tabs>
                <w:tab w:val="left" w:pos="360"/>
              </w:tabs>
              <w:ind w:left="714" w:right="902" w:hanging="357"/>
              <w:rPr>
                <w:rFonts w:eastAsia="Calibri" w:cs="Calibri"/>
                <w:i/>
                <w:szCs w:val="22"/>
                <w:u w:val="single"/>
                <w:lang w:val="en-GB"/>
              </w:rPr>
            </w:pPr>
            <w:r w:rsidRPr="001F3F4E">
              <w:rPr>
                <w:rFonts w:eastAsia="Calibri" w:cs="Calibri"/>
                <w:i/>
                <w:szCs w:val="22"/>
                <w:lang w:val="en-GB"/>
              </w:rPr>
              <w:t xml:space="preserve">Have excellent team working abilities </w:t>
            </w:r>
          </w:p>
          <w:p w14:paraId="0A27D605" w14:textId="77777777" w:rsidR="00A446F2" w:rsidRPr="001F3F4E" w:rsidRDefault="00A446F2" w:rsidP="00A446F2">
            <w:pPr>
              <w:numPr>
                <w:ilvl w:val="0"/>
                <w:numId w:val="9"/>
              </w:numPr>
              <w:tabs>
                <w:tab w:val="left" w:pos="360"/>
              </w:tabs>
              <w:ind w:left="714" w:right="902" w:hanging="357"/>
              <w:rPr>
                <w:rFonts w:eastAsia="Calibri" w:cs="Calibri"/>
                <w:i/>
                <w:szCs w:val="22"/>
                <w:lang w:val="en-GB"/>
              </w:rPr>
            </w:pPr>
            <w:r w:rsidRPr="001F3F4E">
              <w:rPr>
                <w:rFonts w:eastAsia="Calibri" w:cs="Calibri"/>
                <w:i/>
                <w:szCs w:val="22"/>
                <w:lang w:val="en-GB"/>
              </w:rPr>
              <w:t>Strong communication and presentation skills and the ability to transfer his/her knowledge effectively</w:t>
            </w:r>
          </w:p>
          <w:p w14:paraId="354A2754" w14:textId="77777777" w:rsidR="00A446F2" w:rsidRPr="001F3F4E" w:rsidRDefault="00A446F2" w:rsidP="00A446F2">
            <w:pPr>
              <w:numPr>
                <w:ilvl w:val="0"/>
                <w:numId w:val="9"/>
              </w:numPr>
              <w:tabs>
                <w:tab w:val="left" w:pos="360"/>
              </w:tabs>
              <w:ind w:left="714" w:right="902" w:hanging="357"/>
              <w:rPr>
                <w:rFonts w:eastAsia="Calibri" w:cs="Calibri"/>
                <w:i/>
                <w:szCs w:val="22"/>
                <w:lang w:val="en-GB"/>
              </w:rPr>
            </w:pPr>
            <w:r w:rsidRPr="001F3F4E">
              <w:rPr>
                <w:rFonts w:eastAsia="Calibri" w:cs="Calibri"/>
                <w:i/>
                <w:szCs w:val="22"/>
                <w:lang w:val="en-GB"/>
              </w:rPr>
              <w:t>Knowledge of Serbian language will be considered as an advantage</w:t>
            </w:r>
            <w:r w:rsidRPr="001F3F4E">
              <w:rPr>
                <w:rFonts w:eastAsia="Calibri" w:cs="Calibri"/>
                <w:i/>
                <w:szCs w:val="22"/>
                <w:u w:val="single"/>
                <w:lang w:val="en-GB"/>
              </w:rPr>
              <w:t xml:space="preserve"> </w:t>
            </w:r>
          </w:p>
          <w:p w14:paraId="78D38D1D" w14:textId="77777777" w:rsidR="00A446F2" w:rsidRPr="001F3F4E" w:rsidRDefault="00A446F2" w:rsidP="00CF00C9">
            <w:pPr>
              <w:tabs>
                <w:tab w:val="left" w:pos="360"/>
              </w:tabs>
              <w:ind w:left="714" w:right="902"/>
              <w:rPr>
                <w:rFonts w:eastAsia="Calibri" w:cs="Calibri"/>
                <w:i/>
                <w:szCs w:val="22"/>
                <w:lang w:val="en-GB"/>
              </w:rPr>
            </w:pPr>
          </w:p>
        </w:tc>
      </w:tr>
      <w:tr w:rsidR="00A446F2" w:rsidRPr="001F3F4E" w14:paraId="1E17E8E2" w14:textId="77777777" w:rsidTr="00CF00C9">
        <w:tc>
          <w:tcPr>
            <w:tcW w:w="9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4E1F19" w14:textId="77777777" w:rsidR="00A446F2" w:rsidRPr="001F3F4E" w:rsidRDefault="00A446F2" w:rsidP="00CF00C9">
            <w:pPr>
              <w:tabs>
                <w:tab w:val="left" w:pos="360"/>
              </w:tabs>
              <w:spacing w:after="120"/>
              <w:ind w:right="900"/>
              <w:rPr>
                <w:rFonts w:eastAsia="Calibri" w:cs="Calibri"/>
                <w:i/>
                <w:szCs w:val="22"/>
                <w:u w:val="single"/>
                <w:lang w:val="en-GB"/>
              </w:rPr>
            </w:pPr>
            <w:r w:rsidRPr="001F3F4E">
              <w:rPr>
                <w:rFonts w:eastAsia="Calibri" w:cs="Calibri"/>
                <w:i/>
                <w:szCs w:val="22"/>
                <w:u w:val="single"/>
                <w:lang w:val="en-GB"/>
              </w:rPr>
              <w:t>General Professional Experience:</w:t>
            </w:r>
          </w:p>
          <w:p w14:paraId="610BD5DA" w14:textId="77777777" w:rsidR="00A446F2" w:rsidRPr="001F3F4E" w:rsidRDefault="00A446F2" w:rsidP="00A446F2">
            <w:pPr>
              <w:numPr>
                <w:ilvl w:val="0"/>
                <w:numId w:val="9"/>
              </w:numPr>
              <w:tabs>
                <w:tab w:val="left" w:pos="360"/>
              </w:tabs>
              <w:spacing w:after="120" w:line="259" w:lineRule="auto"/>
              <w:ind w:left="714" w:right="902" w:hanging="357"/>
              <w:rPr>
                <w:rFonts w:eastAsia="Calibri" w:cs="Calibri"/>
                <w:szCs w:val="22"/>
                <w:lang w:val="en-GB"/>
              </w:rPr>
            </w:pPr>
            <w:r w:rsidRPr="001F3F4E">
              <w:rPr>
                <w:rFonts w:eastAsia="Calibri" w:cs="Calibri"/>
                <w:i/>
                <w:szCs w:val="22"/>
                <w:lang w:val="en-GB"/>
              </w:rPr>
              <w:t>At least ten (10) years, preferable twelve (12) of proven professional experience in education sector</w:t>
            </w:r>
          </w:p>
        </w:tc>
      </w:tr>
      <w:tr w:rsidR="00A446F2" w:rsidRPr="001F3F4E" w14:paraId="785F601C" w14:textId="77777777" w:rsidTr="00CF00C9">
        <w:tc>
          <w:tcPr>
            <w:tcW w:w="9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4DF408" w14:textId="77777777" w:rsidR="00A446F2" w:rsidRPr="001F3F4E" w:rsidRDefault="00A446F2" w:rsidP="00CF00C9">
            <w:pPr>
              <w:tabs>
                <w:tab w:val="left" w:pos="360"/>
              </w:tabs>
              <w:spacing w:after="120"/>
              <w:ind w:right="900"/>
              <w:rPr>
                <w:rFonts w:eastAsia="Calibri" w:cs="Calibri"/>
                <w:i/>
                <w:szCs w:val="22"/>
                <w:u w:val="single"/>
                <w:lang w:val="en-GB"/>
              </w:rPr>
            </w:pPr>
            <w:r w:rsidRPr="001F3F4E">
              <w:rPr>
                <w:rFonts w:eastAsia="Calibri" w:cs="Calibri"/>
                <w:i/>
                <w:szCs w:val="22"/>
                <w:u w:val="single"/>
                <w:lang w:val="en-GB"/>
              </w:rPr>
              <w:t>Specific Professional Experience:</w:t>
            </w:r>
          </w:p>
          <w:p w14:paraId="479786C9" w14:textId="77777777" w:rsidR="00A446F2" w:rsidRPr="001F3F4E" w:rsidRDefault="00A446F2" w:rsidP="00A446F2">
            <w:pPr>
              <w:numPr>
                <w:ilvl w:val="0"/>
                <w:numId w:val="10"/>
              </w:numPr>
              <w:tabs>
                <w:tab w:val="left" w:pos="360"/>
              </w:tabs>
              <w:ind w:right="902"/>
              <w:jc w:val="both"/>
              <w:rPr>
                <w:rFonts w:eastAsia="Calibri" w:cs="Calibri"/>
                <w:i/>
                <w:szCs w:val="22"/>
                <w:lang w:val="en-GB"/>
              </w:rPr>
            </w:pPr>
            <w:r w:rsidRPr="001F3F4E">
              <w:rPr>
                <w:rFonts w:eastAsia="Calibri" w:cs="Calibri"/>
                <w:i/>
                <w:szCs w:val="22"/>
                <w:lang w:val="en-GB"/>
              </w:rPr>
              <w:t>Minimum five (5), preferably seven (7) years of experience in:</w:t>
            </w:r>
          </w:p>
          <w:p w14:paraId="1B1AA97C" w14:textId="77777777" w:rsidR="00A446F2" w:rsidRPr="00C07486" w:rsidRDefault="00A446F2" w:rsidP="00A446F2">
            <w:pPr>
              <w:numPr>
                <w:ilvl w:val="0"/>
                <w:numId w:val="12"/>
              </w:numPr>
              <w:tabs>
                <w:tab w:val="left" w:pos="360"/>
              </w:tabs>
              <w:ind w:right="902"/>
              <w:contextualSpacing/>
              <w:jc w:val="both"/>
              <w:rPr>
                <w:rFonts w:eastAsia="Calibri" w:cs="Calibri"/>
                <w:i/>
                <w:iCs/>
                <w:szCs w:val="22"/>
                <w:lang w:val="en-GB"/>
              </w:rPr>
            </w:pPr>
            <w:r w:rsidRPr="00C07486">
              <w:rPr>
                <w:rFonts w:eastAsia="Calibri" w:cs="Calibri"/>
                <w:i/>
                <w:iCs/>
                <w:szCs w:val="22"/>
                <w:lang w:val="en-GB"/>
              </w:rPr>
              <w:t>Development and implementation of capacity building programmes</w:t>
            </w:r>
          </w:p>
          <w:p w14:paraId="68E4B311" w14:textId="77777777" w:rsidR="00A446F2" w:rsidRDefault="00A446F2" w:rsidP="00A446F2">
            <w:pPr>
              <w:numPr>
                <w:ilvl w:val="0"/>
                <w:numId w:val="12"/>
              </w:numPr>
              <w:tabs>
                <w:tab w:val="left" w:pos="360"/>
              </w:tabs>
              <w:ind w:right="902"/>
              <w:contextualSpacing/>
              <w:jc w:val="both"/>
              <w:rPr>
                <w:rFonts w:eastAsia="Calibri" w:cs="Calibri"/>
                <w:i/>
                <w:iCs/>
                <w:szCs w:val="22"/>
                <w:lang w:val="en-GB"/>
              </w:rPr>
            </w:pPr>
            <w:r w:rsidRPr="00C07486">
              <w:rPr>
                <w:rFonts w:eastAsia="Calibri" w:cs="Calibri"/>
                <w:i/>
                <w:iCs/>
                <w:szCs w:val="22"/>
                <w:lang w:val="en-GB"/>
              </w:rPr>
              <w:t>Development of Training Needs Analyses (TNA) methodologies and implementation of TNA activities</w:t>
            </w:r>
          </w:p>
          <w:p w14:paraId="28B675C8" w14:textId="77777777" w:rsidR="00A446F2" w:rsidRPr="00AC2F70" w:rsidRDefault="00A446F2" w:rsidP="00A446F2">
            <w:pPr>
              <w:numPr>
                <w:ilvl w:val="0"/>
                <w:numId w:val="12"/>
              </w:numPr>
              <w:tabs>
                <w:tab w:val="left" w:pos="360"/>
              </w:tabs>
              <w:ind w:right="902"/>
              <w:contextualSpacing/>
              <w:jc w:val="both"/>
              <w:rPr>
                <w:rFonts w:eastAsia="Calibri" w:cs="Calibri"/>
                <w:i/>
                <w:iCs/>
                <w:szCs w:val="22"/>
                <w:lang w:val="en-GB"/>
              </w:rPr>
            </w:pPr>
            <w:r w:rsidRPr="00AC2F70">
              <w:rPr>
                <w:rFonts w:asciiTheme="minorHAnsi" w:hAnsiTheme="minorHAnsi" w:cstheme="minorHAnsi"/>
                <w:i/>
              </w:rPr>
              <w:t>Supervision and evaluation of training seminars implementation</w:t>
            </w:r>
          </w:p>
          <w:p w14:paraId="7AD154FE" w14:textId="77777777" w:rsidR="00A446F2" w:rsidRPr="00C07486" w:rsidRDefault="00A446F2" w:rsidP="00CF00C9">
            <w:pPr>
              <w:tabs>
                <w:tab w:val="left" w:pos="360"/>
              </w:tabs>
              <w:ind w:left="1080" w:right="902"/>
              <w:jc w:val="both"/>
              <w:rPr>
                <w:rFonts w:eastAsia="Calibri" w:cs="Calibri"/>
                <w:b/>
                <w:i/>
                <w:iCs/>
                <w:szCs w:val="22"/>
                <w:lang w:val="en-GB"/>
              </w:rPr>
            </w:pPr>
          </w:p>
          <w:p w14:paraId="4BB67E39" w14:textId="77777777" w:rsidR="00A446F2" w:rsidRPr="001F3F4E" w:rsidRDefault="00A446F2" w:rsidP="00A446F2">
            <w:pPr>
              <w:numPr>
                <w:ilvl w:val="0"/>
                <w:numId w:val="10"/>
              </w:numPr>
              <w:tabs>
                <w:tab w:val="left" w:pos="360"/>
              </w:tabs>
              <w:ind w:left="714" w:right="902" w:hanging="357"/>
              <w:contextualSpacing/>
              <w:jc w:val="both"/>
              <w:rPr>
                <w:rFonts w:eastAsia="Calibri" w:cs="Calibri"/>
                <w:iCs/>
                <w:szCs w:val="22"/>
                <w:lang w:val="en-GB"/>
              </w:rPr>
            </w:pPr>
            <w:r w:rsidRPr="001F3F4E">
              <w:rPr>
                <w:rFonts w:eastAsia="Calibri" w:cs="Calibri"/>
                <w:iCs/>
                <w:szCs w:val="22"/>
                <w:lang w:val="en-GB"/>
              </w:rPr>
              <w:t xml:space="preserve">Experience in </w:t>
            </w:r>
            <w:r>
              <w:rPr>
                <w:rFonts w:eastAsia="Calibri" w:cs="Calibri"/>
                <w:iCs/>
                <w:szCs w:val="22"/>
                <w:lang w:val="en-GB"/>
              </w:rPr>
              <w:t xml:space="preserve">analysing, </w:t>
            </w:r>
            <w:r w:rsidRPr="001F3F4E">
              <w:rPr>
                <w:rFonts w:eastAsia="Calibri" w:cs="Calibri"/>
                <w:iCs/>
                <w:szCs w:val="22"/>
                <w:lang w:val="en-GB"/>
              </w:rPr>
              <w:t xml:space="preserve">developing and implementing training </w:t>
            </w:r>
            <w:r>
              <w:rPr>
                <w:rFonts w:eastAsia="Calibri" w:cs="Calibri"/>
                <w:iCs/>
                <w:szCs w:val="22"/>
                <w:lang w:val="en-GB"/>
              </w:rPr>
              <w:t>programmes for professional development of educational professionals</w:t>
            </w:r>
            <w:r w:rsidRPr="001F3F4E">
              <w:rPr>
                <w:rFonts w:eastAsia="Calibri" w:cs="Calibri"/>
                <w:iCs/>
                <w:szCs w:val="22"/>
                <w:lang w:val="en-GB"/>
              </w:rPr>
              <w:t xml:space="preserve"> will be considered an advantage</w:t>
            </w:r>
          </w:p>
          <w:p w14:paraId="3315248E" w14:textId="77777777" w:rsidR="00A446F2" w:rsidRPr="001F3F4E" w:rsidRDefault="00A446F2" w:rsidP="00A446F2">
            <w:pPr>
              <w:pStyle w:val="NormalWeb"/>
              <w:numPr>
                <w:ilvl w:val="0"/>
                <w:numId w:val="10"/>
              </w:numPr>
              <w:tabs>
                <w:tab w:val="left" w:pos="360"/>
              </w:tabs>
              <w:spacing w:before="0" w:beforeAutospacing="0" w:after="0" w:afterAutospacing="0"/>
              <w:ind w:left="714" w:right="902" w:hanging="357"/>
              <w:rPr>
                <w:rFonts w:asciiTheme="minorHAnsi" w:hAnsiTheme="minorHAnsi" w:cstheme="minorHAnsi"/>
                <w:iCs/>
                <w:sz w:val="22"/>
                <w:szCs w:val="22"/>
                <w:lang w:val="en-GB"/>
              </w:rPr>
            </w:pPr>
            <w:r w:rsidRPr="001F3F4E">
              <w:rPr>
                <w:rFonts w:asciiTheme="minorHAnsi" w:hAnsiTheme="minorHAnsi" w:cstheme="minorHAnsi"/>
                <w:iCs/>
                <w:sz w:val="22"/>
                <w:szCs w:val="22"/>
                <w:lang w:val="en-GB"/>
              </w:rPr>
              <w:t>Excellent knowledge of overall Serbian education system will be considered an advantage</w:t>
            </w:r>
          </w:p>
          <w:p w14:paraId="4D2818E0" w14:textId="77777777" w:rsidR="00A446F2" w:rsidRPr="001F3F4E" w:rsidRDefault="00A446F2" w:rsidP="00A446F2">
            <w:pPr>
              <w:pStyle w:val="NormalWeb"/>
              <w:numPr>
                <w:ilvl w:val="0"/>
                <w:numId w:val="10"/>
              </w:numPr>
              <w:tabs>
                <w:tab w:val="left" w:pos="360"/>
              </w:tabs>
              <w:spacing w:before="0" w:beforeAutospacing="0" w:after="0" w:afterAutospacing="0"/>
              <w:ind w:left="714" w:right="902" w:hanging="357"/>
              <w:rPr>
                <w:rFonts w:asciiTheme="minorHAnsi" w:hAnsiTheme="minorHAnsi" w:cstheme="minorHAnsi"/>
                <w:iCs/>
                <w:sz w:val="22"/>
                <w:szCs w:val="22"/>
                <w:lang w:val="en-GB"/>
              </w:rPr>
            </w:pPr>
            <w:r w:rsidRPr="001F3F4E">
              <w:rPr>
                <w:rFonts w:asciiTheme="minorHAnsi" w:hAnsiTheme="minorHAnsi" w:cstheme="minorHAnsi"/>
                <w:iCs/>
                <w:sz w:val="22"/>
                <w:szCs w:val="22"/>
                <w:lang w:val="en-GB"/>
              </w:rPr>
              <w:t>Experience in EU</w:t>
            </w:r>
            <w:r>
              <w:rPr>
                <w:rFonts w:asciiTheme="minorHAnsi" w:hAnsiTheme="minorHAnsi" w:cstheme="minorHAnsi"/>
                <w:iCs/>
                <w:sz w:val="22"/>
                <w:szCs w:val="22"/>
                <w:lang w:val="en-GB"/>
              </w:rPr>
              <w:t>/donor-funded</w:t>
            </w:r>
            <w:r w:rsidRPr="001F3F4E">
              <w:rPr>
                <w:rFonts w:asciiTheme="minorHAnsi" w:hAnsiTheme="minorHAnsi" w:cstheme="minorHAnsi"/>
                <w:iCs/>
                <w:sz w:val="22"/>
                <w:szCs w:val="22"/>
                <w:lang w:val="en-GB"/>
              </w:rPr>
              <w:t xml:space="preserve"> projects will be considered an advantage</w:t>
            </w:r>
          </w:p>
          <w:p w14:paraId="164F398C" w14:textId="77777777" w:rsidR="00A446F2" w:rsidRPr="001F3F4E" w:rsidRDefault="00A446F2" w:rsidP="00CF00C9">
            <w:pPr>
              <w:tabs>
                <w:tab w:val="left" w:pos="360"/>
              </w:tabs>
              <w:rPr>
                <w:szCs w:val="22"/>
                <w:lang w:val="en-GB"/>
              </w:rPr>
            </w:pPr>
          </w:p>
        </w:tc>
      </w:tr>
    </w:tbl>
    <w:p w14:paraId="6053EEF1" w14:textId="77777777" w:rsidR="008E08EA" w:rsidRPr="008E08EA" w:rsidRDefault="008E08EA" w:rsidP="008E08EA">
      <w:pPr>
        <w:spacing w:after="120"/>
        <w:jc w:val="both"/>
        <w:rPr>
          <w:rFonts w:eastAsia="Calibri" w:cs="Calibri"/>
          <w:b/>
          <w:i/>
          <w:color w:val="FF6600"/>
          <w:szCs w:val="22"/>
          <w:lang w:val="en-GB"/>
        </w:rPr>
      </w:pPr>
    </w:p>
    <w:p w14:paraId="0F027B1B" w14:textId="77777777" w:rsidR="008E08EA" w:rsidRPr="008E08EA" w:rsidRDefault="008E08EA" w:rsidP="008E08EA">
      <w:pPr>
        <w:spacing w:after="120"/>
        <w:jc w:val="both"/>
        <w:rPr>
          <w:rFonts w:eastAsia="Calibri" w:cs="Calibri"/>
          <w:b/>
          <w:i/>
          <w:color w:val="FF6600"/>
          <w:szCs w:val="22"/>
          <w:lang w:val="en-GB"/>
        </w:rPr>
      </w:pPr>
      <w:r w:rsidRPr="008E08EA">
        <w:rPr>
          <w:rFonts w:eastAsia="Calibri" w:cs="Calibri"/>
          <w:b/>
          <w:i/>
          <w:color w:val="FF6600"/>
          <w:szCs w:val="22"/>
          <w:lang w:val="en-GB"/>
        </w:rPr>
        <w:t>Further requirements:</w:t>
      </w:r>
    </w:p>
    <w:p w14:paraId="6D396F55" w14:textId="77777777" w:rsidR="008E08EA" w:rsidRPr="008E08EA" w:rsidRDefault="008E08EA" w:rsidP="008E08EA">
      <w:pPr>
        <w:spacing w:after="120"/>
        <w:jc w:val="both"/>
        <w:rPr>
          <w:rFonts w:eastAsia="Calibri" w:cs="Calibri"/>
          <w:b/>
          <w:i/>
          <w:color w:val="FF6600"/>
          <w:szCs w:val="22"/>
          <w:lang w:val="en-GB"/>
        </w:rPr>
      </w:pPr>
      <w:r w:rsidRPr="008E08EA">
        <w:rPr>
          <w:rFonts w:eastAsia="Calibri" w:cs="Calibri"/>
          <w:szCs w:val="22"/>
          <w:lang w:val="en-GB"/>
        </w:rPr>
        <w:t>The selected expert is not a Civil Servant or other staff of the public administration of the beneficiary country.</w:t>
      </w:r>
    </w:p>
    <w:p w14:paraId="4F70F661" w14:textId="77777777" w:rsidR="008E08EA" w:rsidRPr="008E08EA" w:rsidRDefault="008E08EA" w:rsidP="008E08EA">
      <w:pPr>
        <w:spacing w:after="120"/>
        <w:rPr>
          <w:rFonts w:eastAsia="Calibri" w:cs="Calibri"/>
          <w:bCs/>
          <w:szCs w:val="22"/>
          <w:lang w:val="en-GB"/>
        </w:rPr>
      </w:pPr>
      <w:r w:rsidRPr="008E08EA">
        <w:rPr>
          <w:rFonts w:eastAsia="Calibri" w:cs="Calibri"/>
          <w:bCs/>
          <w:szCs w:val="22"/>
          <w:lang w:val="en-GB"/>
        </w:rPr>
        <w:t>The deadline for application is:</w:t>
      </w:r>
    </w:p>
    <w:p w14:paraId="3BA8D3A9" w14:textId="2889833C" w:rsidR="008E08EA" w:rsidRPr="008E08EA" w:rsidRDefault="00A446F2" w:rsidP="008E08EA">
      <w:pPr>
        <w:spacing w:after="120"/>
        <w:jc w:val="center"/>
        <w:rPr>
          <w:rFonts w:eastAsia="Calibri" w:cs="Calibri"/>
          <w:b/>
          <w:bCs/>
          <w:szCs w:val="22"/>
          <w:lang w:val="en-GB"/>
        </w:rPr>
      </w:pPr>
      <w:r>
        <w:rPr>
          <w:rFonts w:eastAsia="Calibri" w:cs="Calibri"/>
          <w:b/>
          <w:bCs/>
          <w:szCs w:val="22"/>
          <w:lang w:val="en-GB"/>
        </w:rPr>
        <w:t>21 April 2020</w:t>
      </w:r>
      <w:r w:rsidR="008E08EA" w:rsidRPr="00425C3A">
        <w:rPr>
          <w:rFonts w:eastAsia="Calibri" w:cs="Calibri"/>
          <w:b/>
          <w:bCs/>
          <w:szCs w:val="22"/>
          <w:lang w:val="en-GB"/>
        </w:rPr>
        <w:t>,</w:t>
      </w:r>
      <w:r w:rsidR="008E08EA" w:rsidRPr="008E08EA">
        <w:rPr>
          <w:rFonts w:eastAsia="Calibri" w:cs="Calibri"/>
          <w:b/>
          <w:bCs/>
          <w:szCs w:val="22"/>
          <w:lang w:val="en-GB"/>
        </w:rPr>
        <w:t xml:space="preserve"> 17:00</w:t>
      </w:r>
    </w:p>
    <w:p w14:paraId="56CCCDDD" w14:textId="6CB23E6D" w:rsidR="008E08EA" w:rsidRPr="008E08EA" w:rsidRDefault="008E08EA" w:rsidP="008E08EA">
      <w:pPr>
        <w:spacing w:after="120"/>
        <w:rPr>
          <w:rFonts w:eastAsia="Calibri" w:cs="Calibri"/>
          <w:bCs/>
          <w:szCs w:val="22"/>
          <w:lang w:val="en-GB"/>
        </w:rPr>
      </w:pPr>
      <w:r w:rsidRPr="008E08EA">
        <w:rPr>
          <w:rFonts w:eastAsia="Calibri" w:cs="Calibri"/>
          <w:bCs/>
          <w:szCs w:val="22"/>
          <w:lang w:val="en-GB"/>
        </w:rPr>
        <w:t>Only short-listed applicants will be contacted.</w:t>
      </w:r>
    </w:p>
    <w:p w14:paraId="0A027E77" w14:textId="23742550" w:rsidR="008E08EA" w:rsidRPr="008E08EA" w:rsidRDefault="008E08EA" w:rsidP="008E08EA">
      <w:pPr>
        <w:spacing w:after="120"/>
        <w:jc w:val="both"/>
        <w:rPr>
          <w:rFonts w:ascii="Arial" w:eastAsia="Calibri" w:hAnsi="Arial" w:cs="Arial"/>
          <w:bCs/>
          <w:color w:val="0563C1"/>
          <w:sz w:val="42"/>
          <w:szCs w:val="32"/>
          <w:u w:val="single"/>
          <w:lang w:val="en-GB"/>
        </w:rPr>
      </w:pPr>
      <w:r w:rsidRPr="008E08EA">
        <w:rPr>
          <w:rFonts w:eastAsia="Calibri" w:cs="Calibri"/>
          <w:bCs/>
          <w:szCs w:val="22"/>
          <w:lang w:val="en-GB"/>
        </w:rPr>
        <w:t xml:space="preserve">Please submit the application: CV (EU format), relevant diplomas and employment certificates by email to: </w:t>
      </w:r>
      <w:hyperlink r:id="rId8" w:history="1">
        <w:r w:rsidR="00A75A94" w:rsidRPr="00A60AF8">
          <w:rPr>
            <w:rStyle w:val="Hyperlink"/>
            <w:rFonts w:eastAsia="Calibri" w:cs="Calibri"/>
            <w:bCs/>
            <w:szCs w:val="22"/>
            <w:lang w:val="en-GB"/>
          </w:rPr>
          <w:t>ekin.or@weglobal.org</w:t>
        </w:r>
      </w:hyperlink>
      <w:r w:rsidRPr="008E08EA">
        <w:rPr>
          <w:rFonts w:eastAsia="Calibri" w:cs="Calibri"/>
          <w:bCs/>
          <w:color w:val="0563C1"/>
          <w:szCs w:val="22"/>
          <w:u w:val="single"/>
          <w:lang w:val="en-GB"/>
        </w:rPr>
        <w:t xml:space="preserve">, </w:t>
      </w:r>
      <w:r w:rsidRPr="008E08EA">
        <w:rPr>
          <w:rFonts w:eastAsia="Calibri" w:cs="Calibri"/>
          <w:bCs/>
          <w:szCs w:val="22"/>
          <w:lang w:val="en-GB"/>
        </w:rPr>
        <w:t xml:space="preserve">and </w:t>
      </w:r>
      <w:hyperlink r:id="rId9" w:history="1">
        <w:r w:rsidRPr="008E08EA">
          <w:rPr>
            <w:rFonts w:eastAsia="Calibri" w:cs="Calibri"/>
            <w:bCs/>
            <w:color w:val="0563C1"/>
            <w:szCs w:val="22"/>
            <w:u w:val="single"/>
            <w:lang w:val="en-GB"/>
          </w:rPr>
          <w:t>snezana.pavlovic@weglobal.org</w:t>
        </w:r>
      </w:hyperlink>
    </w:p>
    <w:p w14:paraId="1CBA5348" w14:textId="77777777" w:rsidR="008E08EA" w:rsidRPr="008E08EA" w:rsidRDefault="008E08EA" w:rsidP="008E08EA">
      <w:pPr>
        <w:spacing w:after="120"/>
        <w:rPr>
          <w:rFonts w:eastAsia="Calibri" w:cs="Calibri"/>
          <w:bCs/>
          <w:szCs w:val="22"/>
          <w:lang w:val="en-GB"/>
        </w:rPr>
      </w:pPr>
      <w:r w:rsidRPr="008E08EA">
        <w:rPr>
          <w:rFonts w:eastAsia="Calibri" w:cs="Calibri"/>
          <w:bCs/>
          <w:szCs w:val="22"/>
          <w:lang w:val="en-GB"/>
        </w:rPr>
        <w:t>All applications will be considered strictly confidential.</w:t>
      </w:r>
    </w:p>
    <w:p w14:paraId="33199F8A" w14:textId="77777777" w:rsidR="008E08EA" w:rsidRPr="008E08EA" w:rsidRDefault="008E08EA" w:rsidP="008E08EA">
      <w:pPr>
        <w:spacing w:after="120"/>
        <w:rPr>
          <w:rFonts w:eastAsia="Calibri" w:cs="Calibri"/>
          <w:bCs/>
          <w:szCs w:val="22"/>
          <w:lang w:val="en-GB"/>
        </w:rPr>
      </w:pPr>
      <w:r w:rsidRPr="008E08EA">
        <w:rPr>
          <w:rFonts w:eastAsia="Calibri" w:cs="Calibri"/>
          <w:bCs/>
          <w:szCs w:val="22"/>
          <w:lang w:val="en-GB"/>
        </w:rPr>
        <w:t xml:space="preserve">For more information, please contact: </w:t>
      </w:r>
      <w:hyperlink r:id="rId10" w:history="1">
        <w:r w:rsidRPr="008E08EA">
          <w:rPr>
            <w:rFonts w:eastAsia="Calibri" w:cs="Calibri"/>
            <w:bCs/>
            <w:color w:val="0563C1"/>
            <w:szCs w:val="22"/>
            <w:u w:val="single"/>
            <w:lang w:val="en-GB"/>
          </w:rPr>
          <w:t>snezana.pavlovic@weglobal.org</w:t>
        </w:r>
      </w:hyperlink>
      <w:r w:rsidRPr="008E08EA">
        <w:rPr>
          <w:rFonts w:eastAsia="Calibri" w:cs="Calibri"/>
          <w:bCs/>
          <w:szCs w:val="22"/>
          <w:lang w:val="en-GB"/>
        </w:rPr>
        <w:t xml:space="preserve"> </w:t>
      </w:r>
    </w:p>
    <w:p w14:paraId="790A3550" w14:textId="77777777" w:rsidR="008E08EA" w:rsidRPr="008E08EA" w:rsidRDefault="008E08EA" w:rsidP="008E08EA">
      <w:pPr>
        <w:spacing w:after="120"/>
        <w:jc w:val="both"/>
        <w:rPr>
          <w:rFonts w:eastAsia="Calibri" w:cs="Calibri"/>
          <w:szCs w:val="22"/>
          <w:lang w:val="en-GB"/>
        </w:rPr>
      </w:pPr>
    </w:p>
    <w:p w14:paraId="12936035" w14:textId="40BA5494" w:rsidR="00AC15D9" w:rsidRDefault="00AC15D9" w:rsidP="00F517F0"/>
    <w:p w14:paraId="474B7CD8" w14:textId="36014475" w:rsidR="007B645B" w:rsidRDefault="007B645B" w:rsidP="00F517F0">
      <w:bookmarkStart w:id="1" w:name="_GoBack"/>
      <w:bookmarkEnd w:id="1"/>
    </w:p>
    <w:p w14:paraId="69AC1C1C" w14:textId="0ABF55B0" w:rsidR="007B645B" w:rsidRDefault="007B645B" w:rsidP="00F517F0"/>
    <w:p w14:paraId="6946E98C" w14:textId="607A8AEE" w:rsidR="007B645B" w:rsidRDefault="007B645B" w:rsidP="00F517F0"/>
    <w:p w14:paraId="5830BBF4" w14:textId="60A76445" w:rsidR="007B645B" w:rsidRDefault="007B645B" w:rsidP="00F517F0"/>
    <w:p w14:paraId="10BE82BC" w14:textId="77AA2DB3" w:rsidR="007B645B" w:rsidRDefault="007B645B" w:rsidP="00F517F0"/>
    <w:p w14:paraId="56A83033" w14:textId="0D4DFE41" w:rsidR="007B645B" w:rsidRDefault="007B645B" w:rsidP="00F517F0"/>
    <w:p w14:paraId="041FC268" w14:textId="5171CB80" w:rsidR="007B645B" w:rsidRDefault="007B645B" w:rsidP="00F517F0"/>
    <w:p w14:paraId="1598BE6D" w14:textId="1FCE15AB" w:rsidR="007B645B" w:rsidRDefault="007B645B" w:rsidP="00F517F0"/>
    <w:p w14:paraId="40221232" w14:textId="7620D02B" w:rsidR="007B645B" w:rsidRDefault="007B645B" w:rsidP="00F517F0"/>
    <w:p w14:paraId="63DEF0D0" w14:textId="7AC94AAE" w:rsidR="007B645B" w:rsidRDefault="007B645B" w:rsidP="00F517F0"/>
    <w:p w14:paraId="1742DD5D" w14:textId="7B32FED7" w:rsidR="007B645B" w:rsidRDefault="007B645B" w:rsidP="00F517F0"/>
    <w:p w14:paraId="6E6777F0" w14:textId="12711984" w:rsidR="007B645B" w:rsidRDefault="007B645B" w:rsidP="00F517F0"/>
    <w:p w14:paraId="17ECA304" w14:textId="6C367D8F" w:rsidR="007B645B" w:rsidRDefault="007B645B" w:rsidP="00F517F0"/>
    <w:p w14:paraId="017BBE21" w14:textId="0339B01D" w:rsidR="007B645B" w:rsidRDefault="007B645B" w:rsidP="00F517F0"/>
    <w:p w14:paraId="5725FDE2" w14:textId="6789B907" w:rsidR="007B645B" w:rsidRDefault="007B645B" w:rsidP="00F517F0"/>
    <w:p w14:paraId="298C1EAE" w14:textId="7F81CA94" w:rsidR="007B645B" w:rsidRDefault="007B645B" w:rsidP="00F517F0"/>
    <w:p w14:paraId="31459A02" w14:textId="56321D83" w:rsidR="007B645B" w:rsidRDefault="007B645B" w:rsidP="00F517F0"/>
    <w:p w14:paraId="5BA2FBD0" w14:textId="16A33082" w:rsidR="007B645B" w:rsidRDefault="007B645B" w:rsidP="00F517F0"/>
    <w:p w14:paraId="0D88ABD1" w14:textId="4F343A6E" w:rsidR="007B645B" w:rsidRDefault="007B645B" w:rsidP="00F517F0"/>
    <w:p w14:paraId="21B26F12" w14:textId="555BC899" w:rsidR="007B645B" w:rsidRDefault="007B645B" w:rsidP="00F517F0"/>
    <w:p w14:paraId="3D2B853A" w14:textId="49A2CE46" w:rsidR="007B645B" w:rsidRDefault="007B645B" w:rsidP="00F517F0"/>
    <w:p w14:paraId="05D022DC" w14:textId="1CD5F3B8" w:rsidR="007B645B" w:rsidRDefault="007B645B" w:rsidP="00F517F0"/>
    <w:p w14:paraId="56F38A3F" w14:textId="580B79C3" w:rsidR="007B645B" w:rsidRDefault="007B645B" w:rsidP="00F517F0"/>
    <w:p w14:paraId="4B4B16BD" w14:textId="1AB435E4" w:rsidR="007B645B" w:rsidRDefault="007B645B" w:rsidP="00F517F0"/>
    <w:p w14:paraId="0E842E85" w14:textId="7FF94AC0" w:rsidR="007B645B" w:rsidRDefault="007B645B" w:rsidP="00F517F0"/>
    <w:p w14:paraId="19B5AEEC" w14:textId="6A046148" w:rsidR="007B645B" w:rsidRDefault="007B645B" w:rsidP="00F517F0"/>
    <w:p w14:paraId="45150749" w14:textId="52C54639" w:rsidR="007B645B" w:rsidRDefault="007B645B" w:rsidP="00F517F0"/>
    <w:p w14:paraId="7523D637" w14:textId="7ADDF031" w:rsidR="007B645B" w:rsidRDefault="007B645B" w:rsidP="00F517F0"/>
    <w:p w14:paraId="2F547D84" w14:textId="575FF237" w:rsidR="007B645B" w:rsidRDefault="007B645B" w:rsidP="00F517F0"/>
    <w:p w14:paraId="16DC09D7" w14:textId="12723920" w:rsidR="007B645B" w:rsidRDefault="007B645B" w:rsidP="00F517F0"/>
    <w:p w14:paraId="4306470F" w14:textId="62E0DA65" w:rsidR="007B645B" w:rsidRDefault="007B645B" w:rsidP="00F517F0"/>
    <w:p w14:paraId="67274DA0" w14:textId="69D9D368" w:rsidR="007B645B" w:rsidRDefault="007B645B" w:rsidP="00F517F0"/>
    <w:p w14:paraId="64902647" w14:textId="09196868" w:rsidR="007B645B" w:rsidRDefault="007B645B" w:rsidP="00F517F0"/>
    <w:p w14:paraId="2EC725DD" w14:textId="29045F16" w:rsidR="007B645B" w:rsidRDefault="007B645B" w:rsidP="00F517F0"/>
    <w:p w14:paraId="27C093A1" w14:textId="21EC49A7" w:rsidR="007B645B" w:rsidRDefault="007B645B" w:rsidP="00F517F0"/>
    <w:p w14:paraId="00D24E0F" w14:textId="1F094661" w:rsidR="007B645B" w:rsidRDefault="007B645B" w:rsidP="00F517F0"/>
    <w:p w14:paraId="41DDC22B" w14:textId="736EC32C" w:rsidR="007B645B" w:rsidRDefault="007B645B" w:rsidP="00F517F0"/>
    <w:p w14:paraId="7B426585" w14:textId="3D3D86F1" w:rsidR="007B645B" w:rsidRDefault="007B645B" w:rsidP="00F517F0"/>
    <w:p w14:paraId="7C6EAD7B" w14:textId="3D023109" w:rsidR="007B645B" w:rsidRDefault="007B645B" w:rsidP="00F517F0"/>
    <w:p w14:paraId="181FE8BC" w14:textId="1B302C32" w:rsidR="007B645B" w:rsidRDefault="007B645B" w:rsidP="00F517F0"/>
    <w:p w14:paraId="221C40F9" w14:textId="30F55CE3" w:rsidR="007B645B" w:rsidRDefault="007B645B" w:rsidP="00F517F0"/>
    <w:p w14:paraId="4FF92E6E" w14:textId="2577141E" w:rsidR="007B645B" w:rsidRDefault="007B645B" w:rsidP="00F517F0"/>
    <w:p w14:paraId="644B9ACA" w14:textId="437E13B2" w:rsidR="007B645B" w:rsidRDefault="007B645B" w:rsidP="00F517F0"/>
    <w:p w14:paraId="56C6651C" w14:textId="1421CE06" w:rsidR="007B645B" w:rsidRDefault="007B645B" w:rsidP="00F517F0"/>
    <w:p w14:paraId="6FE97067" w14:textId="698A1068" w:rsidR="007B645B" w:rsidRDefault="007B645B" w:rsidP="00F517F0"/>
    <w:p w14:paraId="70A462AF" w14:textId="6D6ACBE8" w:rsidR="007B645B" w:rsidRDefault="007B645B" w:rsidP="00F517F0"/>
    <w:p w14:paraId="351D78B2" w14:textId="77777777" w:rsidR="007B645B" w:rsidRPr="00F517F0" w:rsidRDefault="007B645B" w:rsidP="00F517F0"/>
    <w:sectPr w:rsidR="007B645B" w:rsidRPr="00F517F0" w:rsidSect="007B23D6">
      <w:headerReference w:type="even" r:id="rId11"/>
      <w:headerReference w:type="default" r:id="rId12"/>
      <w:footerReference w:type="even" r:id="rId13"/>
      <w:footerReference w:type="default" r:id="rId14"/>
      <w:headerReference w:type="first" r:id="rId15"/>
      <w:footerReference w:type="first" r:id="rId16"/>
      <w:pgSz w:w="11909" w:h="16834" w:code="9"/>
      <w:pgMar w:top="3119" w:right="1418" w:bottom="1276" w:left="1418"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8530C" w14:textId="77777777" w:rsidR="002516C6" w:rsidRDefault="002516C6">
      <w:r>
        <w:separator/>
      </w:r>
    </w:p>
  </w:endnote>
  <w:endnote w:type="continuationSeparator" w:id="0">
    <w:p w14:paraId="33579D5A" w14:textId="77777777" w:rsidR="002516C6" w:rsidRDefault="0025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F7B3A" w14:textId="77777777" w:rsidR="007B645B" w:rsidRDefault="007B64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3BEA" w14:textId="20A2AD40" w:rsidR="00647B56" w:rsidRPr="007B645B" w:rsidRDefault="007B645B" w:rsidP="007B645B">
    <w:pPr>
      <w:pStyle w:val="Footer"/>
      <w:jc w:val="center"/>
      <w:rPr>
        <w:sz w:val="18"/>
        <w:szCs w:val="18"/>
      </w:rPr>
    </w:pPr>
    <w:r w:rsidRPr="007B645B">
      <w:rPr>
        <w:sz w:val="18"/>
        <w:szCs w:val="18"/>
      </w:rPr>
      <w:fldChar w:fldCharType="begin"/>
    </w:r>
    <w:r w:rsidRPr="007B645B">
      <w:rPr>
        <w:sz w:val="18"/>
        <w:szCs w:val="18"/>
      </w:rPr>
      <w:instrText xml:space="preserve"> PAGE   \* MERGEFORMAT </w:instrText>
    </w:r>
    <w:r w:rsidRPr="007B645B">
      <w:rPr>
        <w:sz w:val="18"/>
        <w:szCs w:val="18"/>
      </w:rPr>
      <w:fldChar w:fldCharType="separate"/>
    </w:r>
    <w:r w:rsidR="00A446F2">
      <w:rPr>
        <w:noProof/>
        <w:sz w:val="18"/>
        <w:szCs w:val="18"/>
      </w:rPr>
      <w:t>2</w:t>
    </w:r>
    <w:r w:rsidRPr="007B645B">
      <w:rPr>
        <w:noProof/>
        <w:sz w:val="18"/>
        <w:szCs w:val="18"/>
      </w:rPr>
      <w:fldChar w:fldCharType="end"/>
    </w:r>
    <w:r w:rsidR="00AC15D9" w:rsidRPr="007B645B">
      <w:rPr>
        <w:noProof/>
        <w:sz w:val="18"/>
        <w:szCs w:val="18"/>
      </w:rPr>
      <w:drawing>
        <wp:anchor distT="0" distB="0" distL="114300" distR="114300" simplePos="0" relativeHeight="251689984" behindDoc="0" locked="0" layoutInCell="1" allowOverlap="1" wp14:anchorId="187DB43C" wp14:editId="3647EFBF">
          <wp:simplePos x="0" y="0"/>
          <wp:positionH relativeFrom="page">
            <wp:posOffset>0</wp:posOffset>
          </wp:positionH>
          <wp:positionV relativeFrom="page">
            <wp:posOffset>9921240</wp:posOffset>
          </wp:positionV>
          <wp:extent cx="7558405" cy="482600"/>
          <wp:effectExtent l="0" t="0" r="4445" b="0"/>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memorandum-2a.png"/>
                  <pic:cNvPicPr/>
                </pic:nvPicPr>
                <pic:blipFill rotWithShape="1">
                  <a:blip r:embed="rId1">
                    <a:extLst>
                      <a:ext uri="{28A0092B-C50C-407E-A947-70E740481C1C}">
                        <a14:useLocalDpi xmlns:a14="http://schemas.microsoft.com/office/drawing/2010/main" val="0"/>
                      </a:ext>
                    </a:extLst>
                  </a:blip>
                  <a:srcRect b="33625"/>
                  <a:stretch/>
                </pic:blipFill>
                <pic:spPr bwMode="auto">
                  <a:xfrm>
                    <a:off x="0" y="0"/>
                    <a:ext cx="7558405" cy="482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9F29" w14:textId="66BF62E7" w:rsidR="0055204E" w:rsidRPr="007B645B" w:rsidRDefault="007B645B" w:rsidP="007B645B">
    <w:pPr>
      <w:pStyle w:val="Footer"/>
      <w:jc w:val="center"/>
      <w:rPr>
        <w:sz w:val="18"/>
        <w:szCs w:val="18"/>
      </w:rPr>
    </w:pPr>
    <w:r w:rsidRPr="007B645B">
      <w:rPr>
        <w:noProof/>
        <w:sz w:val="18"/>
        <w:szCs w:val="18"/>
      </w:rPr>
      <w:drawing>
        <wp:anchor distT="0" distB="0" distL="114300" distR="114300" simplePos="0" relativeHeight="251663360" behindDoc="0" locked="0" layoutInCell="1" allowOverlap="1" wp14:anchorId="0C8DE97A" wp14:editId="1585107F">
          <wp:simplePos x="0" y="0"/>
          <wp:positionH relativeFrom="page">
            <wp:posOffset>0</wp:posOffset>
          </wp:positionH>
          <wp:positionV relativeFrom="page">
            <wp:posOffset>9944100</wp:posOffset>
          </wp:positionV>
          <wp:extent cx="7558405" cy="406400"/>
          <wp:effectExtent l="0" t="0" r="4445" b="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memorandum-2a.png"/>
                  <pic:cNvPicPr/>
                </pic:nvPicPr>
                <pic:blipFill rotWithShape="1">
                  <a:blip r:embed="rId1">
                    <a:extLst>
                      <a:ext uri="{28A0092B-C50C-407E-A947-70E740481C1C}">
                        <a14:useLocalDpi xmlns:a14="http://schemas.microsoft.com/office/drawing/2010/main" val="0"/>
                      </a:ext>
                    </a:extLst>
                  </a:blip>
                  <a:srcRect t="9607" b="34497"/>
                  <a:stretch/>
                </pic:blipFill>
                <pic:spPr bwMode="auto">
                  <a:xfrm>
                    <a:off x="0" y="0"/>
                    <a:ext cx="7558405" cy="4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645B">
      <w:rPr>
        <w:sz w:val="18"/>
        <w:szCs w:val="18"/>
      </w:rPr>
      <w:fldChar w:fldCharType="begin"/>
    </w:r>
    <w:r w:rsidRPr="007B645B">
      <w:rPr>
        <w:sz w:val="18"/>
        <w:szCs w:val="18"/>
      </w:rPr>
      <w:instrText xml:space="preserve"> PAGE   \* MERGEFORMAT </w:instrText>
    </w:r>
    <w:r w:rsidRPr="007B645B">
      <w:rPr>
        <w:sz w:val="18"/>
        <w:szCs w:val="18"/>
      </w:rPr>
      <w:fldChar w:fldCharType="separate"/>
    </w:r>
    <w:r w:rsidR="00A446F2">
      <w:rPr>
        <w:noProof/>
        <w:sz w:val="18"/>
        <w:szCs w:val="18"/>
      </w:rPr>
      <w:t>1</w:t>
    </w:r>
    <w:r w:rsidRPr="007B645B">
      <w:rPr>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395C1" w14:textId="77777777" w:rsidR="002516C6" w:rsidRDefault="002516C6">
      <w:bookmarkStart w:id="0" w:name="_Hlk481590691"/>
      <w:bookmarkEnd w:id="0"/>
      <w:r>
        <w:separator/>
      </w:r>
    </w:p>
  </w:footnote>
  <w:footnote w:type="continuationSeparator" w:id="0">
    <w:p w14:paraId="4582231F" w14:textId="77777777" w:rsidR="002516C6" w:rsidRDefault="002516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B8C8F" w14:textId="77777777" w:rsidR="007B645B" w:rsidRDefault="007B64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2E598" w14:textId="77777777" w:rsidR="00601BF9" w:rsidRPr="00222F3C" w:rsidRDefault="00AC15D9" w:rsidP="00D60F99">
    <w:pPr>
      <w:pStyle w:val="Header"/>
      <w:tabs>
        <w:tab w:val="clear" w:pos="8640"/>
      </w:tabs>
    </w:pPr>
    <w:r>
      <w:rPr>
        <w:noProof/>
        <w:sz w:val="2"/>
        <w:szCs w:val="2"/>
      </w:rPr>
      <w:drawing>
        <wp:anchor distT="0" distB="0" distL="114300" distR="114300" simplePos="0" relativeHeight="251687936" behindDoc="0" locked="0" layoutInCell="1" allowOverlap="1" wp14:anchorId="25867FEA" wp14:editId="33E5F891">
          <wp:simplePos x="0" y="0"/>
          <wp:positionH relativeFrom="page">
            <wp:align>center</wp:align>
          </wp:positionH>
          <wp:positionV relativeFrom="page">
            <wp:align>top</wp:align>
          </wp:positionV>
          <wp:extent cx="7560000" cy="1508400"/>
          <wp:effectExtent l="0" t="0" r="3175" b="0"/>
          <wp:wrapTopAndBottom/>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is_cir_mem-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50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7184F" w14:textId="77777777" w:rsidR="00EB665D" w:rsidRDefault="00647B56" w:rsidP="00D57610">
    <w:pPr>
      <w:pStyle w:val="Header"/>
      <w:tabs>
        <w:tab w:val="clear" w:pos="4320"/>
        <w:tab w:val="clear" w:pos="8640"/>
      </w:tabs>
      <w:rPr>
        <w:noProof/>
        <w:sz w:val="2"/>
        <w:szCs w:val="2"/>
      </w:rPr>
    </w:pPr>
    <w:r>
      <w:rPr>
        <w:noProof/>
        <w:sz w:val="2"/>
        <w:szCs w:val="2"/>
      </w:rPr>
      <w:drawing>
        <wp:anchor distT="0" distB="0" distL="114300" distR="114300" simplePos="0" relativeHeight="251683840" behindDoc="0" locked="0" layoutInCell="1" allowOverlap="1" wp14:anchorId="01AF0F42" wp14:editId="33E8FF10">
          <wp:simplePos x="0" y="0"/>
          <wp:positionH relativeFrom="page">
            <wp:align>center</wp:align>
          </wp:positionH>
          <wp:positionV relativeFrom="page">
            <wp:align>top</wp:align>
          </wp:positionV>
          <wp:extent cx="7560000" cy="1508343"/>
          <wp:effectExtent l="0" t="0" r="3175" b="0"/>
          <wp:wrapTopAndBottom/>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is_cir_mem-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508343"/>
                  </a:xfrm>
                  <a:prstGeom prst="rect">
                    <a:avLst/>
                  </a:prstGeom>
                </pic:spPr>
              </pic:pic>
            </a:graphicData>
          </a:graphic>
          <wp14:sizeRelH relativeFrom="margin">
            <wp14:pctWidth>0</wp14:pctWidth>
          </wp14:sizeRelH>
          <wp14:sizeRelV relativeFrom="margin">
            <wp14:pctHeight>0</wp14:pctHeight>
          </wp14:sizeRelV>
        </wp:anchor>
      </w:drawing>
    </w:r>
  </w:p>
  <w:p w14:paraId="6A8C5A13" w14:textId="77777777" w:rsidR="004F7116" w:rsidRDefault="004F7116" w:rsidP="00D57610">
    <w:pPr>
      <w:pStyle w:val="Header"/>
      <w:tabs>
        <w:tab w:val="clear" w:pos="4320"/>
        <w:tab w:val="clear" w:pos="8640"/>
      </w:tabs>
      <w:rPr>
        <w:sz w:val="2"/>
        <w:szCs w:val="2"/>
      </w:rPr>
    </w:pPr>
  </w:p>
  <w:p w14:paraId="256880C4" w14:textId="77777777" w:rsidR="0055204E" w:rsidRPr="00E77340" w:rsidRDefault="0055204E" w:rsidP="00802606">
    <w:pPr>
      <w:pStyle w:val="Header"/>
      <w:tabs>
        <w:tab w:val="clear" w:pos="4320"/>
        <w:tab w:val="clear" w:pos="8640"/>
        <w:tab w:val="left" w:pos="9072"/>
      </w:tabs>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785"/>
    <w:multiLevelType w:val="hybridMultilevel"/>
    <w:tmpl w:val="9B62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A5B49"/>
    <w:multiLevelType w:val="hybridMultilevel"/>
    <w:tmpl w:val="9C1A1490"/>
    <w:lvl w:ilvl="0" w:tplc="0409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F4A4ACC"/>
    <w:multiLevelType w:val="hybridMultilevel"/>
    <w:tmpl w:val="24DC5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8D2B83"/>
    <w:multiLevelType w:val="hybridMultilevel"/>
    <w:tmpl w:val="F4E2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46AC7"/>
    <w:multiLevelType w:val="hybridMultilevel"/>
    <w:tmpl w:val="5B30BCA6"/>
    <w:lvl w:ilvl="0" w:tplc="00C85A80">
      <w:start w:val="1"/>
      <w:numFmt w:val="bullet"/>
      <w:lvlText w:val="-"/>
      <w:lvlJc w:val="left"/>
      <w:pPr>
        <w:ind w:left="1086" w:hanging="360"/>
      </w:pPr>
      <w:rPr>
        <w:rFonts w:ascii="Calibri" w:eastAsiaTheme="minorHAnsi" w:hAnsi="Calibri" w:cs="Calibri"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5" w15:restartNumberingAfterBreak="0">
    <w:nsid w:val="2A6D4D1D"/>
    <w:multiLevelType w:val="hybridMultilevel"/>
    <w:tmpl w:val="1728B41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4215538B"/>
    <w:multiLevelType w:val="hybridMultilevel"/>
    <w:tmpl w:val="69962B02"/>
    <w:lvl w:ilvl="0" w:tplc="62A0F354">
      <w:start w:val="1"/>
      <w:numFmt w:val="bullet"/>
      <w:lvlText w:val=""/>
      <w:lvlJc w:val="left"/>
      <w:pPr>
        <w:ind w:left="360" w:hanging="360"/>
      </w:pPr>
      <w:rPr>
        <w:rFonts w:ascii="Wingdings" w:hAnsi="Wingdings" w:hint="default"/>
        <w:color w:val="auto"/>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7" w15:restartNumberingAfterBreak="0">
    <w:nsid w:val="4D0A2D06"/>
    <w:multiLevelType w:val="hybridMultilevel"/>
    <w:tmpl w:val="03C27FFA"/>
    <w:lvl w:ilvl="0" w:tplc="08090003">
      <w:start w:val="1"/>
      <w:numFmt w:val="bullet"/>
      <w:lvlText w:val="o"/>
      <w:lvlJc w:val="left"/>
      <w:pPr>
        <w:ind w:left="1080" w:hanging="360"/>
      </w:pPr>
      <w:rPr>
        <w:rFonts w:ascii="Courier New" w:hAnsi="Courier New" w:cs="Courier New" w:hint="default"/>
      </w:rPr>
    </w:lvl>
    <w:lvl w:ilvl="1" w:tplc="241A0003" w:tentative="1">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 w15:restartNumberingAfterBreak="0">
    <w:nsid w:val="578852F4"/>
    <w:multiLevelType w:val="multilevel"/>
    <w:tmpl w:val="4AD66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1616D3"/>
    <w:multiLevelType w:val="hybridMultilevel"/>
    <w:tmpl w:val="24F669A4"/>
    <w:lvl w:ilvl="0" w:tplc="0809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D4C0857"/>
    <w:multiLevelType w:val="hybridMultilevel"/>
    <w:tmpl w:val="5922D5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0A525B"/>
    <w:multiLevelType w:val="hybridMultilevel"/>
    <w:tmpl w:val="557AA4C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3"/>
  </w:num>
  <w:num w:numId="2">
    <w:abstractNumId w:val="1"/>
  </w:num>
  <w:num w:numId="3">
    <w:abstractNumId w:val="9"/>
  </w:num>
  <w:num w:numId="4">
    <w:abstractNumId w:val="4"/>
  </w:num>
  <w:num w:numId="5">
    <w:abstractNumId w:val="0"/>
  </w:num>
  <w:num w:numId="6">
    <w:abstractNumId w:val="10"/>
  </w:num>
  <w:num w:numId="7">
    <w:abstractNumId w:val="2"/>
  </w:num>
  <w:num w:numId="8">
    <w:abstractNumId w:val="6"/>
  </w:num>
  <w:num w:numId="9">
    <w:abstractNumId w:val="8"/>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D6"/>
    <w:rsid w:val="00015889"/>
    <w:rsid w:val="00046330"/>
    <w:rsid w:val="000511FE"/>
    <w:rsid w:val="00053AB5"/>
    <w:rsid w:val="000B08AF"/>
    <w:rsid w:val="000B532B"/>
    <w:rsid w:val="000B5B6C"/>
    <w:rsid w:val="00101519"/>
    <w:rsid w:val="0010361F"/>
    <w:rsid w:val="00130429"/>
    <w:rsid w:val="001513FF"/>
    <w:rsid w:val="00165510"/>
    <w:rsid w:val="0019305B"/>
    <w:rsid w:val="00196342"/>
    <w:rsid w:val="001A7CD4"/>
    <w:rsid w:val="001C5370"/>
    <w:rsid w:val="001C6335"/>
    <w:rsid w:val="001D29D0"/>
    <w:rsid w:val="001E7A7E"/>
    <w:rsid w:val="00203F05"/>
    <w:rsid w:val="002178E2"/>
    <w:rsid w:val="00217CDB"/>
    <w:rsid w:val="00222F3C"/>
    <w:rsid w:val="002239B7"/>
    <w:rsid w:val="00224D5F"/>
    <w:rsid w:val="00236A3E"/>
    <w:rsid w:val="00246B76"/>
    <w:rsid w:val="00246F7D"/>
    <w:rsid w:val="002516C6"/>
    <w:rsid w:val="00270280"/>
    <w:rsid w:val="00295688"/>
    <w:rsid w:val="002C3B46"/>
    <w:rsid w:val="002D4A68"/>
    <w:rsid w:val="002E000B"/>
    <w:rsid w:val="002F03AF"/>
    <w:rsid w:val="00314127"/>
    <w:rsid w:val="00316CFB"/>
    <w:rsid w:val="0032736B"/>
    <w:rsid w:val="00336AA8"/>
    <w:rsid w:val="003448EC"/>
    <w:rsid w:val="00377D56"/>
    <w:rsid w:val="00381C10"/>
    <w:rsid w:val="003D3119"/>
    <w:rsid w:val="00412080"/>
    <w:rsid w:val="004127C2"/>
    <w:rsid w:val="004250A2"/>
    <w:rsid w:val="00425C3A"/>
    <w:rsid w:val="0042791E"/>
    <w:rsid w:val="00445FF1"/>
    <w:rsid w:val="0045239C"/>
    <w:rsid w:val="00467610"/>
    <w:rsid w:val="004B4863"/>
    <w:rsid w:val="004C18CC"/>
    <w:rsid w:val="004C7310"/>
    <w:rsid w:val="004D7694"/>
    <w:rsid w:val="004D7FC5"/>
    <w:rsid w:val="004F0B6F"/>
    <w:rsid w:val="004F7116"/>
    <w:rsid w:val="005053B5"/>
    <w:rsid w:val="00531636"/>
    <w:rsid w:val="00546315"/>
    <w:rsid w:val="0055204E"/>
    <w:rsid w:val="00580D32"/>
    <w:rsid w:val="005A4FAB"/>
    <w:rsid w:val="005A6DAE"/>
    <w:rsid w:val="005B33C8"/>
    <w:rsid w:val="005C4675"/>
    <w:rsid w:val="005D75E7"/>
    <w:rsid w:val="005E14EF"/>
    <w:rsid w:val="00601BF9"/>
    <w:rsid w:val="006252AB"/>
    <w:rsid w:val="006362BE"/>
    <w:rsid w:val="00645562"/>
    <w:rsid w:val="00647B56"/>
    <w:rsid w:val="0065290D"/>
    <w:rsid w:val="00661807"/>
    <w:rsid w:val="00662985"/>
    <w:rsid w:val="00664F18"/>
    <w:rsid w:val="00682E28"/>
    <w:rsid w:val="006A68F4"/>
    <w:rsid w:val="006B327C"/>
    <w:rsid w:val="006B4256"/>
    <w:rsid w:val="006D05FA"/>
    <w:rsid w:val="007155AE"/>
    <w:rsid w:val="007174F8"/>
    <w:rsid w:val="00765318"/>
    <w:rsid w:val="00774818"/>
    <w:rsid w:val="007959B0"/>
    <w:rsid w:val="007B23D6"/>
    <w:rsid w:val="007B2417"/>
    <w:rsid w:val="007B432E"/>
    <w:rsid w:val="007B645B"/>
    <w:rsid w:val="007C7C19"/>
    <w:rsid w:val="00802606"/>
    <w:rsid w:val="0087769F"/>
    <w:rsid w:val="00877E3A"/>
    <w:rsid w:val="0088496C"/>
    <w:rsid w:val="00886C4F"/>
    <w:rsid w:val="00896C71"/>
    <w:rsid w:val="00897CC3"/>
    <w:rsid w:val="008B02BD"/>
    <w:rsid w:val="008B55B5"/>
    <w:rsid w:val="008D6273"/>
    <w:rsid w:val="008E08EA"/>
    <w:rsid w:val="008F04C2"/>
    <w:rsid w:val="008F6058"/>
    <w:rsid w:val="009108A6"/>
    <w:rsid w:val="009157BD"/>
    <w:rsid w:val="00930515"/>
    <w:rsid w:val="00944921"/>
    <w:rsid w:val="00976162"/>
    <w:rsid w:val="00977842"/>
    <w:rsid w:val="00987640"/>
    <w:rsid w:val="00990DC7"/>
    <w:rsid w:val="00996704"/>
    <w:rsid w:val="009B4538"/>
    <w:rsid w:val="009C1C37"/>
    <w:rsid w:val="009C64BA"/>
    <w:rsid w:val="009D03EE"/>
    <w:rsid w:val="009D1032"/>
    <w:rsid w:val="009E197F"/>
    <w:rsid w:val="009E2BE2"/>
    <w:rsid w:val="009F304D"/>
    <w:rsid w:val="00A04497"/>
    <w:rsid w:val="00A05F25"/>
    <w:rsid w:val="00A21AC1"/>
    <w:rsid w:val="00A446F2"/>
    <w:rsid w:val="00A666DB"/>
    <w:rsid w:val="00A75A94"/>
    <w:rsid w:val="00A91313"/>
    <w:rsid w:val="00A9385B"/>
    <w:rsid w:val="00AC15D9"/>
    <w:rsid w:val="00AC365D"/>
    <w:rsid w:val="00AE0121"/>
    <w:rsid w:val="00AE3E21"/>
    <w:rsid w:val="00AE6653"/>
    <w:rsid w:val="00AF5E4C"/>
    <w:rsid w:val="00B11C46"/>
    <w:rsid w:val="00B26F96"/>
    <w:rsid w:val="00B61654"/>
    <w:rsid w:val="00B90A5D"/>
    <w:rsid w:val="00B97C2F"/>
    <w:rsid w:val="00BB6184"/>
    <w:rsid w:val="00BF3580"/>
    <w:rsid w:val="00BF7E7B"/>
    <w:rsid w:val="00C10341"/>
    <w:rsid w:val="00C16264"/>
    <w:rsid w:val="00C5236D"/>
    <w:rsid w:val="00C67571"/>
    <w:rsid w:val="00C72BB6"/>
    <w:rsid w:val="00C86606"/>
    <w:rsid w:val="00C911B6"/>
    <w:rsid w:val="00CB1A07"/>
    <w:rsid w:val="00CC4865"/>
    <w:rsid w:val="00CD79C0"/>
    <w:rsid w:val="00CF43D8"/>
    <w:rsid w:val="00D26A90"/>
    <w:rsid w:val="00D3438A"/>
    <w:rsid w:val="00D5486D"/>
    <w:rsid w:val="00D55ACE"/>
    <w:rsid w:val="00D57610"/>
    <w:rsid w:val="00D60F99"/>
    <w:rsid w:val="00D61A92"/>
    <w:rsid w:val="00D7548F"/>
    <w:rsid w:val="00D8519D"/>
    <w:rsid w:val="00D92AFC"/>
    <w:rsid w:val="00D96D0B"/>
    <w:rsid w:val="00DB7F3F"/>
    <w:rsid w:val="00DE699C"/>
    <w:rsid w:val="00DF2F0E"/>
    <w:rsid w:val="00E30649"/>
    <w:rsid w:val="00E43ED2"/>
    <w:rsid w:val="00E64733"/>
    <w:rsid w:val="00E701EF"/>
    <w:rsid w:val="00E77340"/>
    <w:rsid w:val="00E87932"/>
    <w:rsid w:val="00E87FBE"/>
    <w:rsid w:val="00E9610E"/>
    <w:rsid w:val="00EA1CF6"/>
    <w:rsid w:val="00EA6033"/>
    <w:rsid w:val="00EB4559"/>
    <w:rsid w:val="00EB665D"/>
    <w:rsid w:val="00EE0D88"/>
    <w:rsid w:val="00EE34B3"/>
    <w:rsid w:val="00EE4B2D"/>
    <w:rsid w:val="00EF27B9"/>
    <w:rsid w:val="00EF57C9"/>
    <w:rsid w:val="00F27C62"/>
    <w:rsid w:val="00F517F0"/>
    <w:rsid w:val="00F861AF"/>
    <w:rsid w:val="00FB73B9"/>
    <w:rsid w:val="00FC47D1"/>
    <w:rsid w:val="00FF7B6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B9FBE"/>
  <w15:docId w15:val="{AAAC6CEA-6DFA-43BD-987E-CE09F23E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889"/>
    <w:rPr>
      <w:rFonts w:ascii="Calibri" w:hAnsi="Calibr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3B46"/>
    <w:pPr>
      <w:tabs>
        <w:tab w:val="center" w:pos="4320"/>
        <w:tab w:val="right" w:pos="8640"/>
      </w:tabs>
    </w:pPr>
  </w:style>
  <w:style w:type="paragraph" w:styleId="Footer">
    <w:name w:val="footer"/>
    <w:basedOn w:val="Normal"/>
    <w:rsid w:val="002C3B46"/>
    <w:pPr>
      <w:tabs>
        <w:tab w:val="center" w:pos="4320"/>
        <w:tab w:val="right" w:pos="8640"/>
      </w:tabs>
    </w:pPr>
  </w:style>
  <w:style w:type="table" w:styleId="TableGrid">
    <w:name w:val="Table Grid"/>
    <w:basedOn w:val="TableNormal"/>
    <w:rsid w:val="002C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889"/>
    <w:rPr>
      <w:rFonts w:ascii="Calibri" w:hAnsi="Calibri"/>
      <w:sz w:val="22"/>
      <w:szCs w:val="24"/>
      <w:lang w:val="en-US" w:eastAsia="en-US"/>
    </w:rPr>
  </w:style>
  <w:style w:type="paragraph" w:styleId="BalloonText">
    <w:name w:val="Balloon Text"/>
    <w:basedOn w:val="Normal"/>
    <w:link w:val="BalloonTextChar"/>
    <w:rsid w:val="00445FF1"/>
    <w:rPr>
      <w:rFonts w:ascii="Tahoma" w:hAnsi="Tahoma" w:cs="Tahoma"/>
      <w:sz w:val="16"/>
      <w:szCs w:val="16"/>
    </w:rPr>
  </w:style>
  <w:style w:type="character" w:customStyle="1" w:styleId="BalloonTextChar">
    <w:name w:val="Balloon Text Char"/>
    <w:basedOn w:val="DefaultParagraphFont"/>
    <w:link w:val="BalloonText"/>
    <w:rsid w:val="00445FF1"/>
    <w:rPr>
      <w:rFonts w:ascii="Tahoma" w:hAnsi="Tahoma" w:cs="Tahoma"/>
      <w:sz w:val="16"/>
      <w:szCs w:val="16"/>
      <w:lang w:val="en-US" w:eastAsia="en-US"/>
    </w:rPr>
  </w:style>
  <w:style w:type="character" w:styleId="Hyperlink">
    <w:name w:val="Hyperlink"/>
    <w:basedOn w:val="DefaultParagraphFont"/>
    <w:unhideWhenUsed/>
    <w:rsid w:val="00A75A94"/>
    <w:rPr>
      <w:color w:val="0000FF" w:themeColor="hyperlink"/>
      <w:u w:val="single"/>
    </w:rPr>
  </w:style>
  <w:style w:type="paragraph" w:styleId="ListParagraph">
    <w:name w:val="List Paragraph"/>
    <w:aliases w:val="Bullet Points,Liststycke SKL,Bullet list,Table of contents numbered,Liste Paragraf,Normal bullet 2,içindekiler vb,Sombreado multicolor - Énfasis 31,Listenabsatz1,Bullet List Paragraph,List Paragraph1,Level 1 Bullet,Bullet List,Ha"/>
    <w:basedOn w:val="Normal"/>
    <w:link w:val="ListParagraphChar"/>
    <w:uiPriority w:val="34"/>
    <w:qFormat/>
    <w:rsid w:val="00A446F2"/>
    <w:pPr>
      <w:widowControl w:val="0"/>
    </w:pPr>
    <w:rPr>
      <w:rFonts w:ascii="Arial" w:eastAsia="Calibri" w:hAnsi="Arial"/>
      <w:szCs w:val="22"/>
      <w:lang w:val="en-GB"/>
    </w:rPr>
  </w:style>
  <w:style w:type="character" w:customStyle="1" w:styleId="ListParagraphChar">
    <w:name w:val="List Paragraph Char"/>
    <w:aliases w:val="Bullet Points Char,Liststycke SKL Char,Bullet list Char,Table of contents numbered Char,Liste Paragraf Char,Normal bullet 2 Char,içindekiler vb Char,Sombreado multicolor - Énfasis 31 Char,Listenabsatz1 Char,Bullet List Paragraph Char"/>
    <w:link w:val="ListParagraph"/>
    <w:uiPriority w:val="34"/>
    <w:qFormat/>
    <w:locked/>
    <w:rsid w:val="00A446F2"/>
    <w:rPr>
      <w:rFonts w:ascii="Arial" w:eastAsia="Calibri" w:hAnsi="Arial"/>
      <w:sz w:val="22"/>
      <w:szCs w:val="22"/>
      <w:lang w:val="en-GB" w:eastAsia="en-US"/>
    </w:rPr>
  </w:style>
  <w:style w:type="paragraph" w:styleId="NormalWeb">
    <w:name w:val="Normal (Web)"/>
    <w:aliases w:val="webb"/>
    <w:basedOn w:val="Normal"/>
    <w:unhideWhenUsed/>
    <w:rsid w:val="00A446F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in.or@weglobal.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nezana.pavlovic@weglobal.org" TargetMode="External"/><Relationship Id="rId4" Type="http://schemas.openxmlformats.org/officeDocument/2006/relationships/settings" Target="settings.xml"/><Relationship Id="rId9" Type="http://schemas.openxmlformats.org/officeDocument/2006/relationships/hyperlink" Target="mailto:snezana.pavlovic@weglobal.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a\Dropbox\1.Serbia\Templates_Letterheads%20and%20logos\Blank%20Word%20template%20ENG%20REd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44D39-8100-418F-A835-560085A7C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Word template ENG REdiS</Template>
  <TotalTime>6</TotalTime>
  <Pages>5</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dc:creator>
  <cp:lastModifiedBy>Lenovo</cp:lastModifiedBy>
  <cp:revision>5</cp:revision>
  <cp:lastPrinted>2011-12-07T10:45:00Z</cp:lastPrinted>
  <dcterms:created xsi:type="dcterms:W3CDTF">2019-12-16T12:10:00Z</dcterms:created>
  <dcterms:modified xsi:type="dcterms:W3CDTF">2020-04-13T10:28:00Z</dcterms:modified>
</cp:coreProperties>
</file>